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C6DA17" w14:textId="060801B4" w:rsidR="001D6397" w:rsidRDefault="00BE3951" w:rsidP="00CC68BD">
      <w:pPr>
        <w:shd w:val="clear" w:color="auto" w:fill="FFFFFF"/>
        <w:spacing w:after="0" w:line="240" w:lineRule="auto"/>
        <w:jc w:val="center"/>
        <w:rPr>
          <w:rFonts w:ascii="Overpass" w:eastAsia="Times New Roman" w:hAnsi="Overpass" w:cs="Calibri"/>
          <w:b/>
          <w:bCs/>
          <w:color w:val="212121"/>
          <w:sz w:val="36"/>
          <w:szCs w:val="36"/>
          <w:lang w:eastAsia="it-IT"/>
        </w:rPr>
      </w:pPr>
      <w:r w:rsidRPr="00BE3951">
        <w:rPr>
          <w:rFonts w:ascii="Overpass" w:eastAsia="Times New Roman" w:hAnsi="Overpass" w:cs="Calibri"/>
          <w:b/>
          <w:bCs/>
          <w:color w:val="212121"/>
          <w:sz w:val="36"/>
          <w:szCs w:val="36"/>
          <w:lang w:eastAsia="it-IT"/>
        </w:rPr>
        <w:t>Lotus Technology Reports Unaudited First Quarter 2024 Financial Results</w:t>
      </w:r>
    </w:p>
    <w:p w14:paraId="1722D138" w14:textId="77777777" w:rsidR="00CC68BD" w:rsidRPr="00CC68BD" w:rsidRDefault="00CC68BD" w:rsidP="00CC68BD">
      <w:pPr>
        <w:shd w:val="clear" w:color="auto" w:fill="FFFFFF"/>
        <w:spacing w:after="0" w:line="240" w:lineRule="auto"/>
        <w:jc w:val="both"/>
        <w:rPr>
          <w:rFonts w:ascii="Overpass" w:eastAsia="Times New Roman" w:hAnsi="Overpass" w:cs="Calibri"/>
          <w:color w:val="212121"/>
          <w:lang w:eastAsia="it-IT"/>
        </w:rPr>
      </w:pPr>
    </w:p>
    <w:p w14:paraId="21FA019E" w14:textId="77777777" w:rsidR="00BE3951" w:rsidRPr="00BE3951" w:rsidRDefault="00BE3951" w:rsidP="00BE3951">
      <w:pPr>
        <w:pStyle w:val="ListParagraph"/>
        <w:numPr>
          <w:ilvl w:val="0"/>
          <w:numId w:val="7"/>
        </w:numPr>
        <w:shd w:val="clear" w:color="auto" w:fill="FFFFFF" w:themeFill="background1"/>
        <w:spacing w:after="0" w:line="240" w:lineRule="auto"/>
        <w:jc w:val="both"/>
        <w:rPr>
          <w:rFonts w:ascii="Overpass" w:eastAsia="Times New Roman" w:hAnsi="Overpass" w:cs="Calibri"/>
          <w:color w:val="212121"/>
          <w:lang w:eastAsia="it-IT"/>
        </w:rPr>
      </w:pPr>
      <w:r w:rsidRPr="00BE3951">
        <w:rPr>
          <w:rFonts w:ascii="Overpass" w:eastAsia="Times New Roman" w:hAnsi="Overpass" w:cs="Calibri"/>
          <w:color w:val="212121"/>
          <w:lang w:eastAsia="it-IT"/>
        </w:rPr>
        <w:t>Lotus Tech recorded revenue of $173 million and gross profit margin of 18%</w:t>
      </w:r>
    </w:p>
    <w:p w14:paraId="0F1CC91E" w14:textId="77777777" w:rsidR="00BE3951" w:rsidRPr="00BE3951" w:rsidRDefault="00BE3951" w:rsidP="00BE3951">
      <w:pPr>
        <w:pStyle w:val="ListParagraph"/>
        <w:numPr>
          <w:ilvl w:val="0"/>
          <w:numId w:val="7"/>
        </w:numPr>
        <w:shd w:val="clear" w:color="auto" w:fill="FFFFFF" w:themeFill="background1"/>
        <w:spacing w:after="0" w:line="240" w:lineRule="auto"/>
        <w:jc w:val="both"/>
        <w:rPr>
          <w:rFonts w:ascii="Overpass" w:eastAsia="Times New Roman" w:hAnsi="Overpass" w:cs="Calibri"/>
          <w:color w:val="212121"/>
          <w:lang w:eastAsia="it-IT"/>
        </w:rPr>
      </w:pPr>
      <w:r w:rsidRPr="00BE3951">
        <w:rPr>
          <w:rFonts w:ascii="Overpass" w:eastAsia="Times New Roman" w:hAnsi="Overpass" w:cs="Calibri"/>
          <w:color w:val="212121"/>
          <w:lang w:eastAsia="it-IT"/>
        </w:rPr>
        <w:t>Delivered approximately 2,194 vehicles1, with global markets outside China contributing over 75% of total deliveries</w:t>
      </w:r>
    </w:p>
    <w:p w14:paraId="64B0E9CB" w14:textId="5E5C38A5" w:rsidR="00BE3951" w:rsidRPr="00BE3951" w:rsidRDefault="00BE3951" w:rsidP="00BE3951">
      <w:pPr>
        <w:pStyle w:val="ListParagraph"/>
        <w:numPr>
          <w:ilvl w:val="0"/>
          <w:numId w:val="7"/>
        </w:numPr>
        <w:shd w:val="clear" w:color="auto" w:fill="FFFFFF" w:themeFill="background1"/>
        <w:spacing w:after="0" w:line="240" w:lineRule="auto"/>
        <w:jc w:val="both"/>
        <w:rPr>
          <w:rFonts w:ascii="Overpass" w:eastAsia="Times New Roman" w:hAnsi="Overpass" w:cs="Calibri"/>
          <w:color w:val="212121"/>
          <w:lang w:eastAsia="it-IT"/>
        </w:rPr>
      </w:pPr>
      <w:r w:rsidRPr="00BE3951">
        <w:rPr>
          <w:rFonts w:ascii="Overpass" w:eastAsia="Times New Roman" w:hAnsi="Overpass" w:cs="Calibri"/>
          <w:color w:val="212121"/>
          <w:lang w:eastAsia="it-IT"/>
        </w:rPr>
        <w:t>Revealed luxury customized editions of classic sportscar and BEV lifestyle models</w:t>
      </w:r>
    </w:p>
    <w:p w14:paraId="6FC52B43" w14:textId="77777777" w:rsidR="00BE3951" w:rsidRDefault="00BE3951" w:rsidP="00BE3951">
      <w:pPr>
        <w:shd w:val="clear" w:color="auto" w:fill="FFFFFF" w:themeFill="background1"/>
        <w:spacing w:after="0" w:line="240" w:lineRule="auto"/>
        <w:jc w:val="both"/>
        <w:rPr>
          <w:rFonts w:ascii="Overpass" w:eastAsia="Times New Roman" w:hAnsi="Overpass" w:cs="Calibri"/>
          <w:b/>
          <w:bCs/>
          <w:color w:val="212121"/>
          <w:lang w:eastAsia="it-IT"/>
        </w:rPr>
      </w:pPr>
    </w:p>
    <w:p w14:paraId="1B6A0178" w14:textId="77777777" w:rsidR="00BE3951" w:rsidRPr="00BE3951" w:rsidRDefault="001719B6" w:rsidP="00BE3951">
      <w:pPr>
        <w:shd w:val="clear" w:color="auto" w:fill="FFFFFF" w:themeFill="background1"/>
        <w:spacing w:after="0" w:line="240" w:lineRule="auto"/>
        <w:jc w:val="both"/>
        <w:rPr>
          <w:rFonts w:ascii="Overpass" w:eastAsia="Times New Roman" w:hAnsi="Overpass" w:cs="Calibri"/>
          <w:color w:val="212121"/>
          <w:lang w:eastAsia="it-IT"/>
        </w:rPr>
      </w:pPr>
      <w:r>
        <w:rPr>
          <w:rFonts w:ascii="Overpass" w:eastAsia="Times New Roman" w:hAnsi="Overpass" w:cs="Calibri"/>
          <w:b/>
          <w:bCs/>
          <w:color w:val="212121"/>
          <w:lang w:eastAsia="it-IT"/>
        </w:rPr>
        <w:t>New York</w:t>
      </w:r>
      <w:r w:rsidR="48017EDA" w:rsidRPr="71287F2A">
        <w:rPr>
          <w:rFonts w:ascii="Overpass" w:eastAsia="Times New Roman" w:hAnsi="Overpass" w:cs="Calibri"/>
          <w:b/>
          <w:bCs/>
          <w:color w:val="212121"/>
          <w:lang w:eastAsia="it-IT"/>
        </w:rPr>
        <w:t xml:space="preserve"> - </w:t>
      </w:r>
      <w:r w:rsidR="00CC68BD" w:rsidRPr="71287F2A">
        <w:rPr>
          <w:rFonts w:ascii="Overpass" w:eastAsia="Times New Roman" w:hAnsi="Overpass" w:cs="Calibri"/>
          <w:b/>
          <w:bCs/>
          <w:color w:val="212121"/>
          <w:lang w:eastAsia="it-IT"/>
        </w:rPr>
        <w:t>May</w:t>
      </w:r>
      <w:r w:rsidR="3311E567" w:rsidRPr="71287F2A">
        <w:rPr>
          <w:rFonts w:ascii="Overpass" w:eastAsia="Times New Roman" w:hAnsi="Overpass" w:cs="Calibri"/>
          <w:b/>
          <w:bCs/>
          <w:color w:val="212121"/>
          <w:lang w:eastAsia="it-IT"/>
        </w:rPr>
        <w:t xml:space="preserve"> </w:t>
      </w:r>
      <w:r>
        <w:rPr>
          <w:rFonts w:ascii="Overpass" w:eastAsia="Times New Roman" w:hAnsi="Overpass" w:cs="Calibri"/>
          <w:b/>
          <w:bCs/>
          <w:color w:val="212121"/>
          <w:lang w:eastAsia="it-IT"/>
        </w:rPr>
        <w:t xml:space="preserve">29, </w:t>
      </w:r>
      <w:r w:rsidR="00CC68BD" w:rsidRPr="71287F2A">
        <w:rPr>
          <w:rFonts w:ascii="Overpass" w:eastAsia="Times New Roman" w:hAnsi="Overpass" w:cs="Calibri"/>
          <w:b/>
          <w:bCs/>
          <w:color w:val="212121"/>
          <w:lang w:eastAsia="it-IT"/>
        </w:rPr>
        <w:t>2024</w:t>
      </w:r>
      <w:r w:rsidR="00CC68BD" w:rsidRPr="71287F2A">
        <w:rPr>
          <w:rFonts w:ascii="Overpass" w:eastAsia="Times New Roman" w:hAnsi="Overpass" w:cs="Calibri"/>
          <w:color w:val="212121"/>
          <w:lang w:eastAsia="it-IT"/>
        </w:rPr>
        <w:t xml:space="preserve"> - </w:t>
      </w:r>
      <w:r w:rsidR="00BE3951" w:rsidRPr="00BE3951">
        <w:rPr>
          <w:rFonts w:ascii="Overpass" w:eastAsia="Times New Roman" w:hAnsi="Overpass" w:cs="Calibri"/>
          <w:color w:val="212121"/>
          <w:lang w:eastAsia="it-IT"/>
        </w:rPr>
        <w:t>Lotus Technology Inc. ("Lotus Tech" or the "Company") (Nasdaq: LOT), a leading global luxury electric vehicle maker, today announced its unaudited financial results for the first quarter ended March 31, 2024.</w:t>
      </w:r>
    </w:p>
    <w:p w14:paraId="4CC71D74" w14:textId="77777777" w:rsidR="00BE3951" w:rsidRPr="00BE3951" w:rsidRDefault="00BE3951" w:rsidP="00BE3951">
      <w:pPr>
        <w:shd w:val="clear" w:color="auto" w:fill="FFFFFF" w:themeFill="background1"/>
        <w:spacing w:after="0" w:line="240" w:lineRule="auto"/>
        <w:jc w:val="both"/>
        <w:rPr>
          <w:rFonts w:ascii="Overpass" w:eastAsia="Times New Roman" w:hAnsi="Overpass" w:cs="Calibri"/>
          <w:color w:val="212121"/>
          <w:lang w:eastAsia="it-IT"/>
        </w:rPr>
      </w:pPr>
    </w:p>
    <w:p w14:paraId="0DC1C236" w14:textId="77777777" w:rsidR="00BE3951" w:rsidRPr="00BE3951" w:rsidRDefault="00BE3951" w:rsidP="00BE3951">
      <w:pPr>
        <w:shd w:val="clear" w:color="auto" w:fill="FFFFFF" w:themeFill="background1"/>
        <w:spacing w:after="0" w:line="240" w:lineRule="auto"/>
        <w:jc w:val="both"/>
        <w:rPr>
          <w:rFonts w:ascii="Overpass" w:eastAsia="Times New Roman" w:hAnsi="Overpass" w:cs="Calibri"/>
          <w:color w:val="212121"/>
          <w:lang w:eastAsia="it-IT"/>
        </w:rPr>
      </w:pPr>
      <w:r w:rsidRPr="00BE3951">
        <w:rPr>
          <w:rFonts w:ascii="Overpass" w:eastAsia="Times New Roman" w:hAnsi="Overpass" w:cs="Calibri"/>
          <w:color w:val="212121"/>
          <w:lang w:eastAsia="it-IT"/>
        </w:rPr>
        <w:t>The Company achieved total revenue of $173 million in the quarter, a year-on-year growth of 811% and a gross profit margin of 18%, powered by an asset-light model and high-margin businesses including R&amp;D services and accessories. The Company successfully launched its Chapman Bespoke service in the first quarter of 2024, providing premium customization to Lotus vehicles.</w:t>
      </w:r>
    </w:p>
    <w:p w14:paraId="5D4447A4" w14:textId="77777777" w:rsidR="00BE3951" w:rsidRPr="00BE3951" w:rsidRDefault="00BE3951" w:rsidP="00BE3951">
      <w:pPr>
        <w:shd w:val="clear" w:color="auto" w:fill="FFFFFF" w:themeFill="background1"/>
        <w:spacing w:after="0" w:line="240" w:lineRule="auto"/>
        <w:jc w:val="both"/>
        <w:rPr>
          <w:rFonts w:ascii="Overpass" w:eastAsia="Times New Roman" w:hAnsi="Overpass" w:cs="Calibri"/>
          <w:color w:val="212121"/>
          <w:lang w:eastAsia="it-IT"/>
        </w:rPr>
      </w:pPr>
    </w:p>
    <w:p w14:paraId="1F7D36FF" w14:textId="77777777" w:rsidR="00BE3951" w:rsidRPr="00BE3951" w:rsidRDefault="00BE3951" w:rsidP="00BE3951">
      <w:pPr>
        <w:shd w:val="clear" w:color="auto" w:fill="FFFFFF" w:themeFill="background1"/>
        <w:spacing w:after="0" w:line="240" w:lineRule="auto"/>
        <w:jc w:val="both"/>
        <w:rPr>
          <w:rFonts w:ascii="Overpass" w:eastAsia="Times New Roman" w:hAnsi="Overpass" w:cs="Calibri"/>
          <w:color w:val="212121"/>
          <w:lang w:eastAsia="it-IT"/>
        </w:rPr>
      </w:pPr>
      <w:r w:rsidRPr="00BE3951">
        <w:rPr>
          <w:rFonts w:ascii="Overpass" w:eastAsia="Times New Roman" w:hAnsi="Overpass" w:cs="Calibri"/>
          <w:color w:val="212121"/>
          <w:lang w:eastAsia="it-IT"/>
        </w:rPr>
        <w:t>Lotus Tech delivered a total of 2,194 vehicles in the first quarter. The Company began deliveries of Emeya in China, its first electric hyper-grand tourer, and further expanded its product portfolio to four models. In the China market where the Company operates a direct-to-customer sales model, the deliveries in the first quarter had a year-on-year growth of over 100%. Customer deliveries of Emira, the brand’s ICE sports car manufactured in the UK, also commenced in the US at the beginning of this year.</w:t>
      </w:r>
    </w:p>
    <w:p w14:paraId="21B39501" w14:textId="77777777" w:rsidR="00BE3951" w:rsidRPr="00BE3951" w:rsidRDefault="00BE3951" w:rsidP="00BE3951">
      <w:pPr>
        <w:shd w:val="clear" w:color="auto" w:fill="FFFFFF" w:themeFill="background1"/>
        <w:spacing w:after="0" w:line="240" w:lineRule="auto"/>
        <w:jc w:val="both"/>
        <w:rPr>
          <w:rFonts w:ascii="Overpass" w:eastAsia="Times New Roman" w:hAnsi="Overpass" w:cs="Calibri"/>
          <w:color w:val="212121"/>
          <w:lang w:eastAsia="it-IT"/>
        </w:rPr>
      </w:pPr>
    </w:p>
    <w:p w14:paraId="0167FBF8" w14:textId="77777777" w:rsidR="00BE3951" w:rsidRPr="00BE3951" w:rsidRDefault="00BE3951" w:rsidP="00BE3951">
      <w:pPr>
        <w:shd w:val="clear" w:color="auto" w:fill="FFFFFF" w:themeFill="background1"/>
        <w:spacing w:after="0" w:line="240" w:lineRule="auto"/>
        <w:jc w:val="both"/>
        <w:rPr>
          <w:rFonts w:ascii="Overpass" w:eastAsia="Times New Roman" w:hAnsi="Overpass" w:cs="Calibri"/>
          <w:color w:val="212121"/>
          <w:lang w:eastAsia="it-IT"/>
        </w:rPr>
      </w:pPr>
      <w:r w:rsidRPr="00BE3951">
        <w:rPr>
          <w:rFonts w:ascii="Overpass" w:eastAsia="Times New Roman" w:hAnsi="Overpass" w:cs="Calibri"/>
          <w:color w:val="212121"/>
          <w:lang w:eastAsia="it-IT"/>
        </w:rPr>
        <w:t>Global markets outside China contributed over 75% of the company’s deliveries in the first quarter. With a global sales network of over 200 stores in prime locations around the world, the Company continues to leverage its global distribution footprint for international expansion. After China and Europe, the Company began taking orders for Eletre in more than 10 new markets across the Middle East, Asia and the Americas in the first quarter. Lotus Tech also expects to begin expanding Emeya sales to new markets in the third quarter of the year.</w:t>
      </w:r>
    </w:p>
    <w:p w14:paraId="0D39F9D7" w14:textId="77777777" w:rsidR="00BE3951" w:rsidRPr="00BE3951" w:rsidRDefault="00BE3951" w:rsidP="00BE3951">
      <w:pPr>
        <w:shd w:val="clear" w:color="auto" w:fill="FFFFFF" w:themeFill="background1"/>
        <w:spacing w:after="0" w:line="240" w:lineRule="auto"/>
        <w:jc w:val="both"/>
        <w:rPr>
          <w:rFonts w:ascii="Overpass" w:eastAsia="Times New Roman" w:hAnsi="Overpass" w:cs="Calibri"/>
          <w:color w:val="212121"/>
          <w:lang w:eastAsia="it-IT"/>
        </w:rPr>
      </w:pPr>
    </w:p>
    <w:p w14:paraId="47012ED2" w14:textId="04326F0C" w:rsidR="001719B6" w:rsidRDefault="00BE3951" w:rsidP="00BE3951">
      <w:pPr>
        <w:shd w:val="clear" w:color="auto" w:fill="FFFFFF" w:themeFill="background1"/>
        <w:spacing w:after="0" w:line="240" w:lineRule="auto"/>
        <w:jc w:val="both"/>
        <w:rPr>
          <w:rFonts w:ascii="Overpass" w:eastAsia="Times New Roman" w:hAnsi="Overpass" w:cs="Calibri"/>
          <w:color w:val="212121"/>
          <w:lang w:eastAsia="it-IT"/>
        </w:rPr>
      </w:pPr>
      <w:r w:rsidRPr="00BE3951">
        <w:rPr>
          <w:rFonts w:ascii="Overpass" w:eastAsia="Times New Roman" w:hAnsi="Overpass" w:cs="Calibri"/>
          <w:color w:val="212121"/>
          <w:lang w:eastAsia="it-IT"/>
        </w:rPr>
        <w:t xml:space="preserve">"Through our unwavering commitment to innovation and excellence, we are making steady progress on delivering Lotus Tech’s Vision80 plan," </w:t>
      </w:r>
      <w:r w:rsidRPr="00BE3951">
        <w:rPr>
          <w:rFonts w:ascii="Overpass" w:eastAsia="Times New Roman" w:hAnsi="Overpass" w:cs="Calibri"/>
          <w:b/>
          <w:bCs/>
          <w:color w:val="212121"/>
          <w:lang w:eastAsia="it-IT"/>
        </w:rPr>
        <w:t>said Lotus Tech CEO Qingfeng Feng.</w:t>
      </w:r>
      <w:r w:rsidRPr="00BE3951">
        <w:rPr>
          <w:rFonts w:ascii="Overpass" w:eastAsia="Times New Roman" w:hAnsi="Overpass" w:cs="Calibri"/>
          <w:color w:val="212121"/>
          <w:lang w:eastAsia="it-IT"/>
        </w:rPr>
        <w:t xml:space="preserve"> "Our global strategy continues to drive growth and success as we expand our presence and sales across key luxury markets worldwide. We are encouraged by the positive feedback received in these new markets and look forward to rolling out new models to new geographies throughout the year."</w:t>
      </w:r>
    </w:p>
    <w:p w14:paraId="60F590A5" w14:textId="77777777" w:rsidR="00BE3951" w:rsidRDefault="00BE3951" w:rsidP="00BE3951">
      <w:pPr>
        <w:shd w:val="clear" w:color="auto" w:fill="FFFFFF" w:themeFill="background1"/>
        <w:spacing w:after="0" w:line="240" w:lineRule="auto"/>
        <w:jc w:val="both"/>
        <w:rPr>
          <w:rFonts w:ascii="Overpass" w:eastAsia="Times New Roman" w:hAnsi="Overpass" w:cs="Calibri"/>
          <w:color w:val="212121"/>
          <w:lang w:eastAsia="it-IT"/>
        </w:rPr>
      </w:pPr>
    </w:p>
    <w:p w14:paraId="60F227E7" w14:textId="1D6EE972" w:rsidR="005E4BB9" w:rsidRDefault="00BE3951" w:rsidP="00BE3951">
      <w:pPr>
        <w:shd w:val="clear" w:color="auto" w:fill="FFFFFF" w:themeFill="background1"/>
        <w:spacing w:after="0" w:line="240" w:lineRule="auto"/>
        <w:jc w:val="both"/>
        <w:rPr>
          <w:rFonts w:ascii="Overpass" w:eastAsia="Times New Roman" w:hAnsi="Overpass" w:cs="Calibri"/>
          <w:b/>
          <w:bCs/>
          <w:color w:val="212121"/>
          <w:lang w:eastAsia="it-IT"/>
        </w:rPr>
      </w:pPr>
      <w:r w:rsidRPr="00BE3951">
        <w:rPr>
          <w:rFonts w:ascii="Overpass" w:eastAsia="Times New Roman" w:hAnsi="Overpass" w:cs="Calibri"/>
          <w:b/>
          <w:bCs/>
          <w:color w:val="212121"/>
          <w:lang w:eastAsia="it-IT"/>
        </w:rPr>
        <w:t>Deliveries</w:t>
      </w:r>
      <w:r w:rsidRPr="00BE3951">
        <w:rPr>
          <w:rFonts w:ascii="Overpass" w:eastAsia="Times New Roman" w:hAnsi="Overpass" w:cs="Calibri"/>
          <w:b/>
          <w:bCs/>
          <w:color w:val="212121"/>
          <w:vertAlign w:val="superscript"/>
          <w:lang w:eastAsia="it-IT"/>
        </w:rPr>
        <w:t>1</w:t>
      </w:r>
      <w:r w:rsidRPr="00BE3951">
        <w:rPr>
          <w:rFonts w:ascii="Overpass" w:eastAsia="Times New Roman" w:hAnsi="Overpass" w:cs="Calibri"/>
          <w:b/>
          <w:bCs/>
          <w:color w:val="212121"/>
          <w:lang w:eastAsia="it-IT"/>
        </w:rPr>
        <w:t> by model type</w:t>
      </w:r>
    </w:p>
    <w:p w14:paraId="5DA13FCC" w14:textId="77777777" w:rsidR="005E4BB9" w:rsidRPr="005E4BB9" w:rsidRDefault="005E4BB9" w:rsidP="005E4BB9">
      <w:pPr>
        <w:shd w:val="clear" w:color="auto" w:fill="FFFFFF" w:themeFill="background1"/>
        <w:spacing w:after="0" w:line="240" w:lineRule="auto"/>
        <w:jc w:val="both"/>
        <w:rPr>
          <w:rFonts w:ascii="Overpass" w:eastAsia="Times New Roman" w:hAnsi="Overpass" w:cs="Calibri"/>
          <w:b/>
          <w:bCs/>
          <w:color w:val="212121"/>
          <w:lang w:eastAsia="it-IT"/>
        </w:rPr>
      </w:pPr>
    </w:p>
    <w:tbl>
      <w:tblPr>
        <w:tblW w:w="9360" w:type="dxa"/>
        <w:tblCellMar>
          <w:top w:w="15" w:type="dxa"/>
          <w:left w:w="15" w:type="dxa"/>
          <w:bottom w:w="15" w:type="dxa"/>
          <w:right w:w="15" w:type="dxa"/>
        </w:tblCellMar>
        <w:tblLook w:val="04A0" w:firstRow="1" w:lastRow="0" w:firstColumn="1" w:lastColumn="0" w:noHBand="0" w:noVBand="1"/>
      </w:tblPr>
      <w:tblGrid>
        <w:gridCol w:w="2620"/>
        <w:gridCol w:w="1685"/>
        <w:gridCol w:w="1504"/>
        <w:gridCol w:w="1866"/>
        <w:gridCol w:w="1685"/>
      </w:tblGrid>
      <w:tr w:rsidR="005E4BB9" w:rsidRPr="005E4BB9" w14:paraId="362148B1" w14:textId="77777777" w:rsidTr="005E4BB9">
        <w:tc>
          <w:tcPr>
            <w:tcW w:w="2620" w:type="dxa"/>
            <w:tcBorders>
              <w:top w:val="single" w:sz="8" w:space="0" w:color="000000"/>
              <w:left w:val="single" w:sz="2" w:space="0" w:color="auto"/>
              <w:bottom w:val="single" w:sz="8" w:space="0" w:color="000000"/>
              <w:right w:val="single" w:sz="2" w:space="0" w:color="auto"/>
            </w:tcBorders>
            <w:shd w:val="clear" w:color="auto" w:fill="auto"/>
            <w:tcMar>
              <w:top w:w="45" w:type="dxa"/>
              <w:left w:w="45" w:type="dxa"/>
              <w:bottom w:w="45" w:type="dxa"/>
              <w:right w:w="45" w:type="dxa"/>
            </w:tcMar>
            <w:vAlign w:val="bottom"/>
            <w:hideMark/>
          </w:tcPr>
          <w:p w14:paraId="0E194F2D" w14:textId="77777777" w:rsidR="005E4BB9" w:rsidRPr="005E4BB9" w:rsidRDefault="005E4BB9" w:rsidP="005E4BB9">
            <w:pPr>
              <w:shd w:val="clear" w:color="auto" w:fill="FFFFFF" w:themeFill="background1"/>
              <w:spacing w:after="0" w:line="240" w:lineRule="auto"/>
              <w:jc w:val="both"/>
              <w:rPr>
                <w:rFonts w:ascii="Overpass" w:eastAsia="Times New Roman" w:hAnsi="Overpass" w:cs="Calibri"/>
                <w:b/>
                <w:bCs/>
                <w:color w:val="212121"/>
                <w:lang w:eastAsia="it-IT"/>
              </w:rPr>
            </w:pPr>
            <w:r w:rsidRPr="005E4BB9">
              <w:rPr>
                <w:rFonts w:ascii="Overpass" w:eastAsia="Times New Roman" w:hAnsi="Overpass" w:cs="Calibri"/>
                <w:b/>
                <w:bCs/>
                <w:color w:val="212121"/>
                <w:lang w:eastAsia="it-IT"/>
              </w:rPr>
              <w:t> </w:t>
            </w:r>
          </w:p>
        </w:tc>
        <w:tc>
          <w:tcPr>
            <w:tcW w:w="1685" w:type="dxa"/>
            <w:tcBorders>
              <w:top w:val="single" w:sz="8" w:space="0" w:color="000000"/>
              <w:left w:val="single" w:sz="2" w:space="0" w:color="auto"/>
              <w:bottom w:val="single" w:sz="8" w:space="0" w:color="000000"/>
              <w:right w:val="single" w:sz="2" w:space="0" w:color="auto"/>
            </w:tcBorders>
            <w:shd w:val="clear" w:color="auto" w:fill="auto"/>
            <w:tcMar>
              <w:top w:w="45" w:type="dxa"/>
              <w:left w:w="45" w:type="dxa"/>
              <w:bottom w:w="45" w:type="dxa"/>
              <w:right w:w="45" w:type="dxa"/>
            </w:tcMar>
            <w:vAlign w:val="bottom"/>
            <w:hideMark/>
          </w:tcPr>
          <w:p w14:paraId="7BFF318F" w14:textId="77777777" w:rsidR="005E4BB9" w:rsidRPr="005E4BB9" w:rsidRDefault="005E4BB9" w:rsidP="005E4BB9">
            <w:pPr>
              <w:shd w:val="clear" w:color="auto" w:fill="FFFFFF" w:themeFill="background1"/>
              <w:spacing w:after="0" w:line="240" w:lineRule="auto"/>
              <w:jc w:val="both"/>
              <w:rPr>
                <w:rFonts w:ascii="Overpass" w:eastAsia="Times New Roman" w:hAnsi="Overpass" w:cs="Calibri"/>
                <w:b/>
                <w:bCs/>
                <w:color w:val="212121"/>
                <w:lang w:eastAsia="it-IT"/>
              </w:rPr>
            </w:pPr>
            <w:r w:rsidRPr="005E4BB9">
              <w:rPr>
                <w:rFonts w:ascii="Overpass" w:eastAsia="Times New Roman" w:hAnsi="Overpass" w:cs="Calibri"/>
                <w:b/>
                <w:bCs/>
                <w:color w:val="212121"/>
                <w:lang w:eastAsia="it-IT"/>
              </w:rPr>
              <w:t>1Q 2024</w:t>
            </w:r>
          </w:p>
        </w:tc>
        <w:tc>
          <w:tcPr>
            <w:tcW w:w="1504" w:type="dxa"/>
            <w:tcBorders>
              <w:top w:val="single" w:sz="8" w:space="0" w:color="000000"/>
              <w:left w:val="single" w:sz="2" w:space="0" w:color="auto"/>
              <w:bottom w:val="single" w:sz="8" w:space="0" w:color="000000"/>
              <w:right w:val="single" w:sz="2" w:space="0" w:color="auto"/>
            </w:tcBorders>
            <w:shd w:val="clear" w:color="auto" w:fill="auto"/>
            <w:tcMar>
              <w:top w:w="45" w:type="dxa"/>
              <w:left w:w="45" w:type="dxa"/>
              <w:bottom w:w="45" w:type="dxa"/>
              <w:right w:w="45" w:type="dxa"/>
            </w:tcMar>
            <w:vAlign w:val="bottom"/>
            <w:hideMark/>
          </w:tcPr>
          <w:p w14:paraId="081D2E58" w14:textId="77777777" w:rsidR="005E4BB9" w:rsidRPr="005E4BB9" w:rsidRDefault="005E4BB9" w:rsidP="005E4BB9">
            <w:pPr>
              <w:shd w:val="clear" w:color="auto" w:fill="FFFFFF" w:themeFill="background1"/>
              <w:spacing w:after="0" w:line="240" w:lineRule="auto"/>
              <w:jc w:val="both"/>
              <w:rPr>
                <w:rFonts w:ascii="Overpass" w:eastAsia="Times New Roman" w:hAnsi="Overpass" w:cs="Calibri"/>
                <w:b/>
                <w:bCs/>
                <w:color w:val="212121"/>
                <w:lang w:eastAsia="it-IT"/>
              </w:rPr>
            </w:pPr>
            <w:r w:rsidRPr="005E4BB9">
              <w:rPr>
                <w:rFonts w:ascii="Overpass" w:eastAsia="Times New Roman" w:hAnsi="Overpass" w:cs="Calibri"/>
                <w:b/>
                <w:bCs/>
                <w:color w:val="212121"/>
                <w:lang w:eastAsia="it-IT"/>
              </w:rPr>
              <w:t>1Q 2023</w:t>
            </w:r>
          </w:p>
        </w:tc>
        <w:tc>
          <w:tcPr>
            <w:tcW w:w="1866" w:type="dxa"/>
            <w:tcBorders>
              <w:top w:val="single" w:sz="8" w:space="0" w:color="000000"/>
              <w:left w:val="single" w:sz="2" w:space="0" w:color="auto"/>
              <w:bottom w:val="single" w:sz="8" w:space="0" w:color="000000"/>
              <w:right w:val="single" w:sz="2" w:space="0" w:color="auto"/>
            </w:tcBorders>
            <w:shd w:val="clear" w:color="auto" w:fill="auto"/>
            <w:tcMar>
              <w:top w:w="45" w:type="dxa"/>
              <w:left w:w="45" w:type="dxa"/>
              <w:bottom w:w="45" w:type="dxa"/>
              <w:right w:w="45" w:type="dxa"/>
            </w:tcMar>
            <w:vAlign w:val="bottom"/>
            <w:hideMark/>
          </w:tcPr>
          <w:p w14:paraId="62878EF4" w14:textId="77777777" w:rsidR="005E4BB9" w:rsidRPr="005E4BB9" w:rsidRDefault="005E4BB9" w:rsidP="005E4BB9">
            <w:pPr>
              <w:shd w:val="clear" w:color="auto" w:fill="FFFFFF" w:themeFill="background1"/>
              <w:spacing w:after="0" w:line="240" w:lineRule="auto"/>
              <w:jc w:val="both"/>
              <w:rPr>
                <w:rFonts w:ascii="Overpass" w:eastAsia="Times New Roman" w:hAnsi="Overpass" w:cs="Calibri"/>
                <w:b/>
                <w:bCs/>
                <w:color w:val="212121"/>
                <w:lang w:eastAsia="it-IT"/>
              </w:rPr>
            </w:pPr>
            <w:r w:rsidRPr="005E4BB9">
              <w:rPr>
                <w:rFonts w:ascii="Overpass" w:eastAsia="Times New Roman" w:hAnsi="Overpass" w:cs="Calibri"/>
                <w:b/>
                <w:bCs/>
                <w:color w:val="212121"/>
                <w:lang w:eastAsia="it-IT"/>
              </w:rPr>
              <w:t>% Change (YoY)</w:t>
            </w:r>
          </w:p>
        </w:tc>
        <w:tc>
          <w:tcPr>
            <w:tcW w:w="1685" w:type="dxa"/>
            <w:tcBorders>
              <w:top w:val="single" w:sz="8" w:space="0" w:color="000000"/>
              <w:left w:val="single" w:sz="2" w:space="0" w:color="auto"/>
              <w:bottom w:val="single" w:sz="8" w:space="0" w:color="000000"/>
              <w:right w:val="single" w:sz="2" w:space="0" w:color="auto"/>
            </w:tcBorders>
            <w:shd w:val="clear" w:color="auto" w:fill="auto"/>
            <w:tcMar>
              <w:top w:w="45" w:type="dxa"/>
              <w:left w:w="45" w:type="dxa"/>
              <w:bottom w:w="45" w:type="dxa"/>
              <w:right w:w="45" w:type="dxa"/>
            </w:tcMar>
            <w:vAlign w:val="bottom"/>
            <w:hideMark/>
          </w:tcPr>
          <w:p w14:paraId="05840E32" w14:textId="77777777" w:rsidR="005E4BB9" w:rsidRPr="005E4BB9" w:rsidRDefault="005E4BB9" w:rsidP="005E4BB9">
            <w:pPr>
              <w:shd w:val="clear" w:color="auto" w:fill="FFFFFF" w:themeFill="background1"/>
              <w:spacing w:after="0" w:line="240" w:lineRule="auto"/>
              <w:jc w:val="both"/>
              <w:rPr>
                <w:rFonts w:ascii="Overpass" w:eastAsia="Times New Roman" w:hAnsi="Overpass" w:cs="Calibri"/>
                <w:b/>
                <w:bCs/>
                <w:color w:val="212121"/>
                <w:lang w:eastAsia="it-IT"/>
              </w:rPr>
            </w:pPr>
            <w:r w:rsidRPr="005E4BB9">
              <w:rPr>
                <w:rFonts w:ascii="Overpass" w:eastAsia="Times New Roman" w:hAnsi="Overpass" w:cs="Calibri"/>
                <w:b/>
                <w:bCs/>
                <w:color w:val="212121"/>
                <w:lang w:eastAsia="it-IT"/>
              </w:rPr>
              <w:t>FY2023</w:t>
            </w:r>
          </w:p>
        </w:tc>
      </w:tr>
      <w:tr w:rsidR="005E4BB9" w:rsidRPr="005E4BB9" w14:paraId="229EC96D" w14:textId="77777777" w:rsidTr="005E4BB9">
        <w:tc>
          <w:tcPr>
            <w:tcW w:w="0" w:type="auto"/>
            <w:tcBorders>
              <w:top w:val="single" w:sz="8" w:space="0" w:color="000000"/>
              <w:left w:val="single" w:sz="2" w:space="0" w:color="auto"/>
              <w:bottom w:val="single" w:sz="2" w:space="0" w:color="auto"/>
              <w:right w:val="single" w:sz="2" w:space="0" w:color="auto"/>
            </w:tcBorders>
            <w:shd w:val="clear" w:color="auto" w:fill="auto"/>
            <w:tcMar>
              <w:top w:w="45" w:type="dxa"/>
              <w:left w:w="150" w:type="dxa"/>
              <w:bottom w:w="45" w:type="dxa"/>
              <w:right w:w="45" w:type="dxa"/>
            </w:tcMar>
            <w:vAlign w:val="bottom"/>
            <w:hideMark/>
          </w:tcPr>
          <w:p w14:paraId="35EE6E71" w14:textId="77777777" w:rsidR="005E4BB9" w:rsidRPr="005E4BB9" w:rsidRDefault="005E4BB9" w:rsidP="005E4BB9">
            <w:pPr>
              <w:shd w:val="clear" w:color="auto" w:fill="FFFFFF" w:themeFill="background1"/>
              <w:spacing w:after="0" w:line="240" w:lineRule="auto"/>
              <w:jc w:val="both"/>
              <w:rPr>
                <w:rFonts w:ascii="Overpass" w:eastAsia="Times New Roman" w:hAnsi="Overpass" w:cs="Calibri"/>
                <w:b/>
                <w:bCs/>
                <w:color w:val="212121"/>
                <w:lang w:eastAsia="it-IT"/>
              </w:rPr>
            </w:pPr>
            <w:r w:rsidRPr="005E4BB9">
              <w:rPr>
                <w:rFonts w:ascii="Overpass" w:eastAsia="Times New Roman" w:hAnsi="Overpass" w:cs="Calibri"/>
                <w:b/>
                <w:bCs/>
                <w:color w:val="212121"/>
                <w:lang w:eastAsia="it-IT"/>
              </w:rPr>
              <w:t>Lifestyle vehicles</w:t>
            </w:r>
          </w:p>
        </w:tc>
        <w:tc>
          <w:tcPr>
            <w:tcW w:w="0" w:type="auto"/>
            <w:tcBorders>
              <w:top w:val="single" w:sz="8" w:space="0" w:color="000000"/>
              <w:left w:val="single" w:sz="2" w:space="0" w:color="auto"/>
              <w:bottom w:val="single" w:sz="2" w:space="0" w:color="auto"/>
              <w:right w:val="single" w:sz="2" w:space="0" w:color="auto"/>
            </w:tcBorders>
            <w:shd w:val="clear" w:color="auto" w:fill="auto"/>
            <w:tcMar>
              <w:top w:w="45" w:type="dxa"/>
              <w:left w:w="45" w:type="dxa"/>
              <w:bottom w:w="45" w:type="dxa"/>
              <w:right w:w="45" w:type="dxa"/>
            </w:tcMar>
            <w:vAlign w:val="bottom"/>
            <w:hideMark/>
          </w:tcPr>
          <w:p w14:paraId="170FAB1D" w14:textId="77777777" w:rsidR="005E4BB9" w:rsidRPr="005E4BB9" w:rsidRDefault="005E4BB9" w:rsidP="005E4BB9">
            <w:pPr>
              <w:shd w:val="clear" w:color="auto" w:fill="FFFFFF" w:themeFill="background1"/>
              <w:spacing w:after="0" w:line="240" w:lineRule="auto"/>
              <w:jc w:val="both"/>
              <w:rPr>
                <w:rFonts w:ascii="Overpass" w:eastAsia="Times New Roman" w:hAnsi="Overpass" w:cs="Calibri"/>
                <w:color w:val="212121"/>
                <w:lang w:eastAsia="it-IT"/>
              </w:rPr>
            </w:pPr>
            <w:r w:rsidRPr="005E4BB9">
              <w:rPr>
                <w:rFonts w:ascii="Overpass" w:eastAsia="Times New Roman" w:hAnsi="Overpass" w:cs="Calibri"/>
                <w:color w:val="212121"/>
                <w:lang w:eastAsia="it-IT"/>
              </w:rPr>
              <w:t>1,047</w:t>
            </w:r>
          </w:p>
        </w:tc>
        <w:tc>
          <w:tcPr>
            <w:tcW w:w="1504" w:type="dxa"/>
            <w:tcBorders>
              <w:top w:val="single" w:sz="8" w:space="0" w:color="000000"/>
              <w:left w:val="single" w:sz="2" w:space="0" w:color="auto"/>
              <w:bottom w:val="single" w:sz="2" w:space="0" w:color="auto"/>
              <w:right w:val="single" w:sz="2" w:space="0" w:color="auto"/>
            </w:tcBorders>
            <w:shd w:val="clear" w:color="auto" w:fill="auto"/>
            <w:tcMar>
              <w:top w:w="45" w:type="dxa"/>
              <w:left w:w="45" w:type="dxa"/>
              <w:bottom w:w="45" w:type="dxa"/>
              <w:right w:w="45" w:type="dxa"/>
            </w:tcMar>
            <w:vAlign w:val="bottom"/>
            <w:hideMark/>
          </w:tcPr>
          <w:p w14:paraId="4F2424A4" w14:textId="77777777" w:rsidR="005E4BB9" w:rsidRPr="005E4BB9" w:rsidRDefault="005E4BB9" w:rsidP="005E4BB9">
            <w:pPr>
              <w:shd w:val="clear" w:color="auto" w:fill="FFFFFF" w:themeFill="background1"/>
              <w:spacing w:after="0" w:line="240" w:lineRule="auto"/>
              <w:jc w:val="both"/>
              <w:rPr>
                <w:rFonts w:ascii="Overpass" w:eastAsia="Times New Roman" w:hAnsi="Overpass" w:cs="Calibri"/>
                <w:color w:val="212121"/>
                <w:lang w:eastAsia="it-IT"/>
              </w:rPr>
            </w:pPr>
            <w:r w:rsidRPr="005E4BB9">
              <w:rPr>
                <w:rFonts w:ascii="Overpass" w:eastAsia="Times New Roman" w:hAnsi="Overpass" w:cs="Calibri"/>
                <w:color w:val="212121"/>
                <w:lang w:eastAsia="it-IT"/>
              </w:rPr>
              <w:t>236</w:t>
            </w:r>
          </w:p>
        </w:tc>
        <w:tc>
          <w:tcPr>
            <w:tcW w:w="1866" w:type="dxa"/>
            <w:tcBorders>
              <w:top w:val="single" w:sz="8" w:space="0" w:color="000000"/>
              <w:left w:val="single" w:sz="2" w:space="0" w:color="auto"/>
              <w:bottom w:val="single" w:sz="2" w:space="0" w:color="auto"/>
              <w:right w:val="single" w:sz="2" w:space="0" w:color="auto"/>
            </w:tcBorders>
            <w:shd w:val="clear" w:color="auto" w:fill="auto"/>
            <w:tcMar>
              <w:top w:w="45" w:type="dxa"/>
              <w:left w:w="45" w:type="dxa"/>
              <w:bottom w:w="45" w:type="dxa"/>
              <w:right w:w="0" w:type="dxa"/>
            </w:tcMar>
            <w:vAlign w:val="bottom"/>
            <w:hideMark/>
          </w:tcPr>
          <w:p w14:paraId="389E8EC1" w14:textId="77777777" w:rsidR="005E4BB9" w:rsidRPr="005E4BB9" w:rsidRDefault="005E4BB9" w:rsidP="005E4BB9">
            <w:pPr>
              <w:shd w:val="clear" w:color="auto" w:fill="FFFFFF" w:themeFill="background1"/>
              <w:spacing w:after="0" w:line="240" w:lineRule="auto"/>
              <w:jc w:val="both"/>
              <w:rPr>
                <w:rFonts w:ascii="Overpass" w:eastAsia="Times New Roman" w:hAnsi="Overpass" w:cs="Calibri"/>
                <w:color w:val="212121"/>
                <w:lang w:eastAsia="it-IT"/>
              </w:rPr>
            </w:pPr>
            <w:r w:rsidRPr="005E4BB9">
              <w:rPr>
                <w:rFonts w:ascii="Overpass" w:eastAsia="Times New Roman" w:hAnsi="Overpass" w:cs="Calibri"/>
                <w:color w:val="212121"/>
                <w:lang w:eastAsia="it-IT"/>
              </w:rPr>
              <w:t>344%</w:t>
            </w:r>
          </w:p>
        </w:tc>
        <w:tc>
          <w:tcPr>
            <w:tcW w:w="0" w:type="auto"/>
            <w:tcBorders>
              <w:top w:val="single" w:sz="8" w:space="0" w:color="000000"/>
              <w:left w:val="single" w:sz="2" w:space="0" w:color="auto"/>
              <w:bottom w:val="single" w:sz="2" w:space="0" w:color="auto"/>
              <w:right w:val="single" w:sz="2" w:space="0" w:color="auto"/>
            </w:tcBorders>
            <w:shd w:val="clear" w:color="auto" w:fill="auto"/>
            <w:tcMar>
              <w:top w:w="45" w:type="dxa"/>
              <w:left w:w="45" w:type="dxa"/>
              <w:bottom w:w="45" w:type="dxa"/>
              <w:right w:w="45" w:type="dxa"/>
            </w:tcMar>
            <w:vAlign w:val="bottom"/>
            <w:hideMark/>
          </w:tcPr>
          <w:p w14:paraId="35D76086" w14:textId="77777777" w:rsidR="005E4BB9" w:rsidRPr="005E4BB9" w:rsidRDefault="005E4BB9" w:rsidP="005E4BB9">
            <w:pPr>
              <w:shd w:val="clear" w:color="auto" w:fill="FFFFFF" w:themeFill="background1"/>
              <w:spacing w:after="0" w:line="240" w:lineRule="auto"/>
              <w:jc w:val="both"/>
              <w:rPr>
                <w:rFonts w:ascii="Overpass" w:eastAsia="Times New Roman" w:hAnsi="Overpass" w:cs="Calibri"/>
                <w:color w:val="212121"/>
                <w:lang w:eastAsia="it-IT"/>
              </w:rPr>
            </w:pPr>
            <w:r w:rsidRPr="005E4BB9">
              <w:rPr>
                <w:rFonts w:ascii="Overpass" w:eastAsia="Times New Roman" w:hAnsi="Overpass" w:cs="Calibri"/>
                <w:color w:val="212121"/>
                <w:lang w:eastAsia="it-IT"/>
              </w:rPr>
              <w:t>4,361</w:t>
            </w:r>
          </w:p>
        </w:tc>
      </w:tr>
      <w:tr w:rsidR="005E4BB9" w:rsidRPr="005E4BB9" w14:paraId="2AB738BB" w14:textId="77777777" w:rsidTr="005E4BB9">
        <w:tc>
          <w:tcPr>
            <w:tcW w:w="0" w:type="auto"/>
            <w:tcBorders>
              <w:top w:val="single" w:sz="2" w:space="0" w:color="auto"/>
              <w:left w:val="single" w:sz="2" w:space="0" w:color="auto"/>
              <w:bottom w:val="single" w:sz="2" w:space="0" w:color="auto"/>
              <w:right w:val="single" w:sz="2" w:space="0" w:color="auto"/>
            </w:tcBorders>
            <w:shd w:val="clear" w:color="auto" w:fill="auto"/>
            <w:tcMar>
              <w:top w:w="45" w:type="dxa"/>
              <w:left w:w="150" w:type="dxa"/>
              <w:bottom w:w="45" w:type="dxa"/>
              <w:right w:w="45" w:type="dxa"/>
            </w:tcMar>
            <w:vAlign w:val="bottom"/>
            <w:hideMark/>
          </w:tcPr>
          <w:p w14:paraId="40A21EC8" w14:textId="77777777" w:rsidR="005E4BB9" w:rsidRPr="005E4BB9" w:rsidRDefault="005E4BB9" w:rsidP="005E4BB9">
            <w:pPr>
              <w:shd w:val="clear" w:color="auto" w:fill="FFFFFF" w:themeFill="background1"/>
              <w:spacing w:after="0" w:line="240" w:lineRule="auto"/>
              <w:jc w:val="both"/>
              <w:rPr>
                <w:rFonts w:ascii="Overpass" w:eastAsia="Times New Roman" w:hAnsi="Overpass" w:cs="Calibri"/>
                <w:b/>
                <w:bCs/>
                <w:color w:val="212121"/>
                <w:lang w:eastAsia="it-IT"/>
              </w:rPr>
            </w:pPr>
            <w:r w:rsidRPr="005E4BB9">
              <w:rPr>
                <w:rFonts w:ascii="Overpass" w:eastAsia="Times New Roman" w:hAnsi="Overpass" w:cs="Calibri"/>
                <w:b/>
                <w:bCs/>
                <w:color w:val="212121"/>
                <w:lang w:eastAsia="it-IT"/>
              </w:rPr>
              <w:t>Sportscars</w:t>
            </w:r>
          </w:p>
        </w:tc>
        <w:tc>
          <w:tcPr>
            <w:tcW w:w="0" w:type="auto"/>
            <w:tcBorders>
              <w:top w:val="single" w:sz="2" w:space="0" w:color="auto"/>
              <w:left w:val="single" w:sz="2" w:space="0" w:color="auto"/>
              <w:bottom w:val="single" w:sz="2" w:space="0" w:color="auto"/>
              <w:right w:val="single" w:sz="2" w:space="0" w:color="auto"/>
            </w:tcBorders>
            <w:shd w:val="clear" w:color="auto" w:fill="auto"/>
            <w:tcMar>
              <w:top w:w="45" w:type="dxa"/>
              <w:left w:w="45" w:type="dxa"/>
              <w:bottom w:w="45" w:type="dxa"/>
              <w:right w:w="45" w:type="dxa"/>
            </w:tcMar>
            <w:vAlign w:val="bottom"/>
            <w:hideMark/>
          </w:tcPr>
          <w:p w14:paraId="2683C3BD" w14:textId="77777777" w:rsidR="005E4BB9" w:rsidRPr="005E4BB9" w:rsidRDefault="005E4BB9" w:rsidP="005E4BB9">
            <w:pPr>
              <w:shd w:val="clear" w:color="auto" w:fill="FFFFFF" w:themeFill="background1"/>
              <w:spacing w:after="0" w:line="240" w:lineRule="auto"/>
              <w:jc w:val="both"/>
              <w:rPr>
                <w:rFonts w:ascii="Overpass" w:eastAsia="Times New Roman" w:hAnsi="Overpass" w:cs="Calibri"/>
                <w:color w:val="212121"/>
                <w:lang w:eastAsia="it-IT"/>
              </w:rPr>
            </w:pPr>
            <w:r w:rsidRPr="005E4BB9">
              <w:rPr>
                <w:rFonts w:ascii="Overpass" w:eastAsia="Times New Roman" w:hAnsi="Overpass" w:cs="Calibri"/>
                <w:color w:val="212121"/>
                <w:lang w:eastAsia="it-IT"/>
              </w:rPr>
              <w:t>1,147</w:t>
            </w:r>
          </w:p>
        </w:tc>
        <w:tc>
          <w:tcPr>
            <w:tcW w:w="1504" w:type="dxa"/>
            <w:tcBorders>
              <w:top w:val="single" w:sz="2" w:space="0" w:color="auto"/>
              <w:left w:val="single" w:sz="2" w:space="0" w:color="auto"/>
              <w:bottom w:val="single" w:sz="2" w:space="0" w:color="auto"/>
              <w:right w:val="single" w:sz="2" w:space="0" w:color="auto"/>
            </w:tcBorders>
            <w:shd w:val="clear" w:color="auto" w:fill="auto"/>
            <w:tcMar>
              <w:top w:w="45" w:type="dxa"/>
              <w:left w:w="45" w:type="dxa"/>
              <w:bottom w:w="45" w:type="dxa"/>
              <w:right w:w="45" w:type="dxa"/>
            </w:tcMar>
            <w:vAlign w:val="bottom"/>
            <w:hideMark/>
          </w:tcPr>
          <w:p w14:paraId="27F8DE69" w14:textId="77777777" w:rsidR="005E4BB9" w:rsidRPr="005E4BB9" w:rsidRDefault="005E4BB9" w:rsidP="005E4BB9">
            <w:pPr>
              <w:shd w:val="clear" w:color="auto" w:fill="FFFFFF" w:themeFill="background1"/>
              <w:spacing w:after="0" w:line="240" w:lineRule="auto"/>
              <w:jc w:val="both"/>
              <w:rPr>
                <w:rFonts w:ascii="Overpass" w:eastAsia="Times New Roman" w:hAnsi="Overpass" w:cs="Calibri"/>
                <w:color w:val="212121"/>
                <w:lang w:eastAsia="it-IT"/>
              </w:rPr>
            </w:pPr>
            <w:r w:rsidRPr="005E4BB9">
              <w:rPr>
                <w:rFonts w:ascii="Overpass" w:eastAsia="Times New Roman" w:hAnsi="Overpass" w:cs="Calibri"/>
                <w:color w:val="212121"/>
                <w:lang w:eastAsia="it-IT"/>
              </w:rPr>
              <w:t>28</w:t>
            </w:r>
          </w:p>
        </w:tc>
        <w:tc>
          <w:tcPr>
            <w:tcW w:w="1866" w:type="dxa"/>
            <w:tcBorders>
              <w:top w:val="single" w:sz="2" w:space="0" w:color="auto"/>
              <w:left w:val="single" w:sz="2" w:space="0" w:color="auto"/>
              <w:bottom w:val="single" w:sz="2" w:space="0" w:color="auto"/>
              <w:right w:val="single" w:sz="2" w:space="0" w:color="auto"/>
            </w:tcBorders>
            <w:shd w:val="clear" w:color="auto" w:fill="auto"/>
            <w:tcMar>
              <w:top w:w="45" w:type="dxa"/>
              <w:left w:w="45" w:type="dxa"/>
              <w:bottom w:w="45" w:type="dxa"/>
              <w:right w:w="0" w:type="dxa"/>
            </w:tcMar>
            <w:vAlign w:val="bottom"/>
            <w:hideMark/>
          </w:tcPr>
          <w:p w14:paraId="11793731" w14:textId="77777777" w:rsidR="005E4BB9" w:rsidRPr="005E4BB9" w:rsidRDefault="005E4BB9" w:rsidP="005E4BB9">
            <w:pPr>
              <w:shd w:val="clear" w:color="auto" w:fill="FFFFFF" w:themeFill="background1"/>
              <w:spacing w:after="0" w:line="240" w:lineRule="auto"/>
              <w:jc w:val="both"/>
              <w:rPr>
                <w:rFonts w:ascii="Overpass" w:eastAsia="Times New Roman" w:hAnsi="Overpass" w:cs="Calibri"/>
                <w:color w:val="212121"/>
                <w:lang w:eastAsia="it-IT"/>
              </w:rPr>
            </w:pPr>
            <w:r w:rsidRPr="005E4BB9">
              <w:rPr>
                <w:rFonts w:ascii="Overpass" w:eastAsia="Times New Roman" w:hAnsi="Overpass" w:cs="Calibri"/>
                <w:color w:val="212121"/>
                <w:lang w:eastAsia="it-IT"/>
              </w:rPr>
              <w:t>-</w:t>
            </w:r>
          </w:p>
        </w:tc>
        <w:tc>
          <w:tcPr>
            <w:tcW w:w="0" w:type="auto"/>
            <w:tcBorders>
              <w:top w:val="single" w:sz="2" w:space="0" w:color="auto"/>
              <w:left w:val="single" w:sz="2" w:space="0" w:color="auto"/>
              <w:bottom w:val="single" w:sz="2" w:space="0" w:color="auto"/>
              <w:right w:val="single" w:sz="2" w:space="0" w:color="auto"/>
            </w:tcBorders>
            <w:shd w:val="clear" w:color="auto" w:fill="auto"/>
            <w:tcMar>
              <w:top w:w="45" w:type="dxa"/>
              <w:left w:w="45" w:type="dxa"/>
              <w:bottom w:w="45" w:type="dxa"/>
              <w:right w:w="45" w:type="dxa"/>
            </w:tcMar>
            <w:vAlign w:val="bottom"/>
            <w:hideMark/>
          </w:tcPr>
          <w:p w14:paraId="72470C7E" w14:textId="77777777" w:rsidR="005E4BB9" w:rsidRPr="005E4BB9" w:rsidRDefault="005E4BB9" w:rsidP="005E4BB9">
            <w:pPr>
              <w:shd w:val="clear" w:color="auto" w:fill="FFFFFF" w:themeFill="background1"/>
              <w:spacing w:after="0" w:line="240" w:lineRule="auto"/>
              <w:jc w:val="both"/>
              <w:rPr>
                <w:rFonts w:ascii="Overpass" w:eastAsia="Times New Roman" w:hAnsi="Overpass" w:cs="Calibri"/>
                <w:color w:val="212121"/>
                <w:lang w:eastAsia="it-IT"/>
              </w:rPr>
            </w:pPr>
            <w:r w:rsidRPr="005E4BB9">
              <w:rPr>
                <w:rFonts w:ascii="Overpass" w:eastAsia="Times New Roman" w:hAnsi="Overpass" w:cs="Calibri"/>
                <w:color w:val="212121"/>
                <w:lang w:eastAsia="it-IT"/>
              </w:rPr>
              <w:t>2,609</w:t>
            </w:r>
          </w:p>
        </w:tc>
      </w:tr>
      <w:tr w:rsidR="005E4BB9" w:rsidRPr="005E4BB9" w14:paraId="45AEEDC1" w14:textId="77777777" w:rsidTr="005E4BB9">
        <w:tc>
          <w:tcPr>
            <w:tcW w:w="0" w:type="auto"/>
            <w:tcBorders>
              <w:top w:val="single" w:sz="2" w:space="0" w:color="auto"/>
              <w:left w:val="single" w:sz="2" w:space="0" w:color="auto"/>
              <w:bottom w:val="single" w:sz="8" w:space="0" w:color="000000"/>
              <w:right w:val="single" w:sz="2" w:space="0" w:color="auto"/>
            </w:tcBorders>
            <w:shd w:val="clear" w:color="auto" w:fill="auto"/>
            <w:tcMar>
              <w:top w:w="45" w:type="dxa"/>
              <w:left w:w="150" w:type="dxa"/>
              <w:bottom w:w="45" w:type="dxa"/>
              <w:right w:w="45" w:type="dxa"/>
            </w:tcMar>
            <w:vAlign w:val="bottom"/>
            <w:hideMark/>
          </w:tcPr>
          <w:p w14:paraId="52083A9E" w14:textId="77777777" w:rsidR="005E4BB9" w:rsidRPr="005E4BB9" w:rsidRDefault="005E4BB9" w:rsidP="005E4BB9">
            <w:pPr>
              <w:shd w:val="clear" w:color="auto" w:fill="FFFFFF" w:themeFill="background1"/>
              <w:spacing w:after="0" w:line="240" w:lineRule="auto"/>
              <w:jc w:val="both"/>
              <w:rPr>
                <w:rFonts w:ascii="Overpass" w:eastAsia="Times New Roman" w:hAnsi="Overpass" w:cs="Calibri"/>
                <w:b/>
                <w:bCs/>
                <w:color w:val="212121"/>
                <w:lang w:eastAsia="it-IT"/>
              </w:rPr>
            </w:pPr>
            <w:r w:rsidRPr="005E4BB9">
              <w:rPr>
                <w:rFonts w:ascii="Overpass" w:eastAsia="Times New Roman" w:hAnsi="Overpass" w:cs="Calibri"/>
                <w:b/>
                <w:bCs/>
                <w:color w:val="212121"/>
                <w:lang w:eastAsia="it-IT"/>
              </w:rPr>
              <w:t>Total</w:t>
            </w:r>
          </w:p>
        </w:tc>
        <w:tc>
          <w:tcPr>
            <w:tcW w:w="0" w:type="auto"/>
            <w:tcBorders>
              <w:top w:val="single" w:sz="2" w:space="0" w:color="auto"/>
              <w:left w:val="single" w:sz="2" w:space="0" w:color="auto"/>
              <w:bottom w:val="single" w:sz="8" w:space="0" w:color="000000"/>
              <w:right w:val="single" w:sz="2" w:space="0" w:color="auto"/>
            </w:tcBorders>
            <w:shd w:val="clear" w:color="auto" w:fill="auto"/>
            <w:tcMar>
              <w:top w:w="45" w:type="dxa"/>
              <w:left w:w="45" w:type="dxa"/>
              <w:bottom w:w="45" w:type="dxa"/>
              <w:right w:w="45" w:type="dxa"/>
            </w:tcMar>
            <w:vAlign w:val="bottom"/>
            <w:hideMark/>
          </w:tcPr>
          <w:p w14:paraId="20BDB3B0" w14:textId="77777777" w:rsidR="005E4BB9" w:rsidRPr="005E4BB9" w:rsidRDefault="005E4BB9" w:rsidP="005E4BB9">
            <w:pPr>
              <w:shd w:val="clear" w:color="auto" w:fill="FFFFFF" w:themeFill="background1"/>
              <w:spacing w:after="0" w:line="240" w:lineRule="auto"/>
              <w:jc w:val="both"/>
              <w:rPr>
                <w:rFonts w:ascii="Overpass" w:eastAsia="Times New Roman" w:hAnsi="Overpass" w:cs="Calibri"/>
                <w:color w:val="212121"/>
                <w:lang w:eastAsia="it-IT"/>
              </w:rPr>
            </w:pPr>
            <w:r w:rsidRPr="005E4BB9">
              <w:rPr>
                <w:rFonts w:ascii="Overpass" w:eastAsia="Times New Roman" w:hAnsi="Overpass" w:cs="Calibri"/>
                <w:color w:val="212121"/>
                <w:lang w:eastAsia="it-IT"/>
              </w:rPr>
              <w:t>2,194</w:t>
            </w:r>
          </w:p>
        </w:tc>
        <w:tc>
          <w:tcPr>
            <w:tcW w:w="1504" w:type="dxa"/>
            <w:tcBorders>
              <w:top w:val="single" w:sz="2" w:space="0" w:color="auto"/>
              <w:left w:val="single" w:sz="2" w:space="0" w:color="auto"/>
              <w:bottom w:val="single" w:sz="8" w:space="0" w:color="000000"/>
              <w:right w:val="single" w:sz="2" w:space="0" w:color="auto"/>
            </w:tcBorders>
            <w:shd w:val="clear" w:color="auto" w:fill="auto"/>
            <w:tcMar>
              <w:top w:w="45" w:type="dxa"/>
              <w:left w:w="45" w:type="dxa"/>
              <w:bottom w:w="45" w:type="dxa"/>
              <w:right w:w="45" w:type="dxa"/>
            </w:tcMar>
            <w:vAlign w:val="bottom"/>
            <w:hideMark/>
          </w:tcPr>
          <w:p w14:paraId="28A33D2F" w14:textId="77777777" w:rsidR="005E4BB9" w:rsidRPr="005E4BB9" w:rsidRDefault="005E4BB9" w:rsidP="005E4BB9">
            <w:pPr>
              <w:shd w:val="clear" w:color="auto" w:fill="FFFFFF" w:themeFill="background1"/>
              <w:spacing w:after="0" w:line="240" w:lineRule="auto"/>
              <w:jc w:val="both"/>
              <w:rPr>
                <w:rFonts w:ascii="Overpass" w:eastAsia="Times New Roman" w:hAnsi="Overpass" w:cs="Calibri"/>
                <w:color w:val="212121"/>
                <w:lang w:eastAsia="it-IT"/>
              </w:rPr>
            </w:pPr>
            <w:r w:rsidRPr="005E4BB9">
              <w:rPr>
                <w:rFonts w:ascii="Overpass" w:eastAsia="Times New Roman" w:hAnsi="Overpass" w:cs="Calibri"/>
                <w:color w:val="212121"/>
                <w:lang w:eastAsia="it-IT"/>
              </w:rPr>
              <w:t>264</w:t>
            </w:r>
          </w:p>
        </w:tc>
        <w:tc>
          <w:tcPr>
            <w:tcW w:w="1866" w:type="dxa"/>
            <w:tcBorders>
              <w:top w:val="single" w:sz="2" w:space="0" w:color="auto"/>
              <w:left w:val="single" w:sz="2" w:space="0" w:color="auto"/>
              <w:bottom w:val="single" w:sz="8" w:space="0" w:color="000000"/>
              <w:right w:val="single" w:sz="2" w:space="0" w:color="auto"/>
            </w:tcBorders>
            <w:shd w:val="clear" w:color="auto" w:fill="auto"/>
            <w:tcMar>
              <w:top w:w="45" w:type="dxa"/>
              <w:left w:w="45" w:type="dxa"/>
              <w:bottom w:w="45" w:type="dxa"/>
              <w:right w:w="0" w:type="dxa"/>
            </w:tcMar>
            <w:vAlign w:val="bottom"/>
            <w:hideMark/>
          </w:tcPr>
          <w:p w14:paraId="196EEA2D" w14:textId="77777777" w:rsidR="005E4BB9" w:rsidRPr="005E4BB9" w:rsidRDefault="005E4BB9" w:rsidP="005E4BB9">
            <w:pPr>
              <w:shd w:val="clear" w:color="auto" w:fill="FFFFFF" w:themeFill="background1"/>
              <w:spacing w:after="0" w:line="240" w:lineRule="auto"/>
              <w:jc w:val="both"/>
              <w:rPr>
                <w:rFonts w:ascii="Overpass" w:eastAsia="Times New Roman" w:hAnsi="Overpass" w:cs="Calibri"/>
                <w:color w:val="212121"/>
                <w:lang w:eastAsia="it-IT"/>
              </w:rPr>
            </w:pPr>
            <w:r w:rsidRPr="005E4BB9">
              <w:rPr>
                <w:rFonts w:ascii="Overpass" w:eastAsia="Times New Roman" w:hAnsi="Overpass" w:cs="Calibri"/>
                <w:color w:val="212121"/>
                <w:lang w:eastAsia="it-IT"/>
              </w:rPr>
              <w:t>731%</w:t>
            </w:r>
          </w:p>
        </w:tc>
        <w:tc>
          <w:tcPr>
            <w:tcW w:w="0" w:type="auto"/>
            <w:tcBorders>
              <w:top w:val="single" w:sz="2" w:space="0" w:color="auto"/>
              <w:left w:val="single" w:sz="2" w:space="0" w:color="auto"/>
              <w:bottom w:val="single" w:sz="8" w:space="0" w:color="000000"/>
              <w:right w:val="single" w:sz="2" w:space="0" w:color="auto"/>
            </w:tcBorders>
            <w:shd w:val="clear" w:color="auto" w:fill="auto"/>
            <w:tcMar>
              <w:top w:w="45" w:type="dxa"/>
              <w:left w:w="45" w:type="dxa"/>
              <w:bottom w:w="45" w:type="dxa"/>
              <w:right w:w="45" w:type="dxa"/>
            </w:tcMar>
            <w:vAlign w:val="bottom"/>
            <w:hideMark/>
          </w:tcPr>
          <w:p w14:paraId="4F1A795E" w14:textId="77777777" w:rsidR="005E4BB9" w:rsidRPr="005E4BB9" w:rsidRDefault="005E4BB9" w:rsidP="005E4BB9">
            <w:pPr>
              <w:shd w:val="clear" w:color="auto" w:fill="FFFFFF" w:themeFill="background1"/>
              <w:spacing w:after="0" w:line="240" w:lineRule="auto"/>
              <w:jc w:val="both"/>
              <w:rPr>
                <w:rFonts w:ascii="Overpass" w:eastAsia="Times New Roman" w:hAnsi="Overpass" w:cs="Calibri"/>
                <w:color w:val="212121"/>
                <w:lang w:eastAsia="it-IT"/>
              </w:rPr>
            </w:pPr>
            <w:r w:rsidRPr="005E4BB9">
              <w:rPr>
                <w:rFonts w:ascii="Overpass" w:eastAsia="Times New Roman" w:hAnsi="Overpass" w:cs="Calibri"/>
                <w:color w:val="212121"/>
                <w:lang w:eastAsia="it-IT"/>
              </w:rPr>
              <w:t>6,970</w:t>
            </w:r>
          </w:p>
        </w:tc>
      </w:tr>
      <w:tr w:rsidR="005E4BB9" w:rsidRPr="005E4BB9" w14:paraId="67E1C706" w14:textId="77777777" w:rsidTr="005E4BB9">
        <w:tc>
          <w:tcPr>
            <w:tcW w:w="0" w:type="auto"/>
            <w:tcBorders>
              <w:top w:val="single" w:sz="2" w:space="0" w:color="auto"/>
              <w:left w:val="single" w:sz="2" w:space="0" w:color="auto"/>
              <w:bottom w:val="single" w:sz="2" w:space="0" w:color="auto"/>
              <w:right w:val="single" w:sz="2" w:space="0" w:color="auto"/>
            </w:tcBorders>
            <w:shd w:val="clear" w:color="auto" w:fill="auto"/>
            <w:tcMar>
              <w:top w:w="45" w:type="dxa"/>
              <w:left w:w="45" w:type="dxa"/>
              <w:bottom w:w="45" w:type="dxa"/>
              <w:right w:w="45" w:type="dxa"/>
            </w:tcMar>
            <w:vAlign w:val="bottom"/>
            <w:hideMark/>
          </w:tcPr>
          <w:p w14:paraId="62E3E073" w14:textId="77777777" w:rsidR="005E4BB9" w:rsidRPr="005E4BB9" w:rsidRDefault="005E4BB9" w:rsidP="005E4BB9">
            <w:pPr>
              <w:shd w:val="clear" w:color="auto" w:fill="FFFFFF" w:themeFill="background1"/>
              <w:spacing w:after="0" w:line="240" w:lineRule="auto"/>
              <w:jc w:val="both"/>
              <w:rPr>
                <w:rFonts w:ascii="Overpass" w:eastAsia="Times New Roman" w:hAnsi="Overpass" w:cs="Calibri"/>
                <w:b/>
                <w:bCs/>
                <w:color w:val="212121"/>
                <w:lang w:eastAsia="it-IT"/>
              </w:rPr>
            </w:pPr>
            <w:r w:rsidRPr="005E4BB9">
              <w:rPr>
                <w:rFonts w:ascii="Overpass" w:eastAsia="Times New Roman" w:hAnsi="Overpass" w:cs="Calibri"/>
                <w:b/>
                <w:bCs/>
                <w:color w:val="212121"/>
                <w:lang w:eastAsia="it-IT"/>
              </w:rPr>
              <w:t> </w:t>
            </w:r>
          </w:p>
        </w:tc>
        <w:tc>
          <w:tcPr>
            <w:tcW w:w="0" w:type="auto"/>
            <w:tcBorders>
              <w:top w:val="single" w:sz="2" w:space="0" w:color="auto"/>
              <w:left w:val="single" w:sz="2" w:space="0" w:color="auto"/>
              <w:bottom w:val="single" w:sz="2" w:space="0" w:color="auto"/>
              <w:right w:val="single" w:sz="2" w:space="0" w:color="auto"/>
            </w:tcBorders>
            <w:shd w:val="clear" w:color="auto" w:fill="auto"/>
            <w:tcMar>
              <w:top w:w="45" w:type="dxa"/>
              <w:left w:w="45" w:type="dxa"/>
              <w:bottom w:w="45" w:type="dxa"/>
              <w:right w:w="45" w:type="dxa"/>
            </w:tcMar>
            <w:vAlign w:val="bottom"/>
            <w:hideMark/>
          </w:tcPr>
          <w:p w14:paraId="5B2685BA" w14:textId="77777777" w:rsidR="005E4BB9" w:rsidRPr="005E4BB9" w:rsidRDefault="005E4BB9" w:rsidP="005E4BB9">
            <w:pPr>
              <w:shd w:val="clear" w:color="auto" w:fill="FFFFFF" w:themeFill="background1"/>
              <w:spacing w:after="0" w:line="240" w:lineRule="auto"/>
              <w:jc w:val="both"/>
              <w:rPr>
                <w:rFonts w:ascii="Overpass" w:eastAsia="Times New Roman" w:hAnsi="Overpass" w:cs="Calibri"/>
                <w:color w:val="212121"/>
                <w:lang w:eastAsia="it-IT"/>
              </w:rPr>
            </w:pPr>
            <w:r w:rsidRPr="005E4BB9">
              <w:rPr>
                <w:rFonts w:ascii="Overpass" w:eastAsia="Times New Roman" w:hAnsi="Overpass" w:cs="Calibri"/>
                <w:color w:val="212121"/>
                <w:lang w:eastAsia="it-IT"/>
              </w:rPr>
              <w:t> </w:t>
            </w:r>
          </w:p>
        </w:tc>
        <w:tc>
          <w:tcPr>
            <w:tcW w:w="1504" w:type="dxa"/>
            <w:tcBorders>
              <w:top w:val="single" w:sz="2" w:space="0" w:color="auto"/>
              <w:left w:val="single" w:sz="2" w:space="0" w:color="auto"/>
              <w:bottom w:val="single" w:sz="2" w:space="0" w:color="auto"/>
              <w:right w:val="single" w:sz="2" w:space="0" w:color="auto"/>
            </w:tcBorders>
            <w:shd w:val="clear" w:color="auto" w:fill="auto"/>
            <w:tcMar>
              <w:top w:w="45" w:type="dxa"/>
              <w:left w:w="45" w:type="dxa"/>
              <w:bottom w:w="45" w:type="dxa"/>
              <w:right w:w="45" w:type="dxa"/>
            </w:tcMar>
            <w:vAlign w:val="bottom"/>
            <w:hideMark/>
          </w:tcPr>
          <w:p w14:paraId="6FE50443" w14:textId="77777777" w:rsidR="005E4BB9" w:rsidRPr="005E4BB9" w:rsidRDefault="005E4BB9" w:rsidP="005E4BB9">
            <w:pPr>
              <w:shd w:val="clear" w:color="auto" w:fill="FFFFFF" w:themeFill="background1"/>
              <w:spacing w:after="0" w:line="240" w:lineRule="auto"/>
              <w:jc w:val="both"/>
              <w:rPr>
                <w:rFonts w:ascii="Overpass" w:eastAsia="Times New Roman" w:hAnsi="Overpass" w:cs="Calibri"/>
                <w:color w:val="212121"/>
                <w:lang w:eastAsia="it-IT"/>
              </w:rPr>
            </w:pPr>
            <w:r w:rsidRPr="005E4BB9">
              <w:rPr>
                <w:rFonts w:ascii="Overpass" w:eastAsia="Times New Roman" w:hAnsi="Overpass" w:cs="Calibri"/>
                <w:color w:val="212121"/>
                <w:lang w:eastAsia="it-IT"/>
              </w:rPr>
              <w:t> </w:t>
            </w:r>
          </w:p>
        </w:tc>
        <w:tc>
          <w:tcPr>
            <w:tcW w:w="1866" w:type="dxa"/>
            <w:tcBorders>
              <w:top w:val="single" w:sz="2" w:space="0" w:color="auto"/>
              <w:left w:val="single" w:sz="2" w:space="0" w:color="auto"/>
              <w:bottom w:val="single" w:sz="2" w:space="0" w:color="auto"/>
              <w:right w:val="single" w:sz="2" w:space="0" w:color="auto"/>
            </w:tcBorders>
            <w:shd w:val="clear" w:color="auto" w:fill="auto"/>
            <w:tcMar>
              <w:top w:w="45" w:type="dxa"/>
              <w:left w:w="45" w:type="dxa"/>
              <w:bottom w:w="45" w:type="dxa"/>
              <w:right w:w="0" w:type="dxa"/>
            </w:tcMar>
            <w:vAlign w:val="bottom"/>
            <w:hideMark/>
          </w:tcPr>
          <w:p w14:paraId="3FE17A6C" w14:textId="77777777" w:rsidR="005E4BB9" w:rsidRPr="005E4BB9" w:rsidRDefault="005E4BB9" w:rsidP="005E4BB9">
            <w:pPr>
              <w:shd w:val="clear" w:color="auto" w:fill="FFFFFF" w:themeFill="background1"/>
              <w:spacing w:after="0" w:line="240" w:lineRule="auto"/>
              <w:jc w:val="both"/>
              <w:rPr>
                <w:rFonts w:ascii="Overpass" w:eastAsia="Times New Roman" w:hAnsi="Overpass" w:cs="Calibri"/>
                <w:color w:val="212121"/>
                <w:lang w:eastAsia="it-IT"/>
              </w:rPr>
            </w:pPr>
            <w:r w:rsidRPr="005E4BB9">
              <w:rPr>
                <w:rFonts w:ascii="Overpass" w:eastAsia="Times New Roman" w:hAnsi="Overpass" w:cs="Calibri"/>
                <w:color w:val="212121"/>
                <w:lang w:eastAsia="it-IT"/>
              </w:rPr>
              <w:t> </w:t>
            </w:r>
          </w:p>
        </w:tc>
        <w:tc>
          <w:tcPr>
            <w:tcW w:w="0" w:type="auto"/>
            <w:tcBorders>
              <w:top w:val="single" w:sz="2" w:space="0" w:color="auto"/>
              <w:left w:val="single" w:sz="2" w:space="0" w:color="auto"/>
              <w:bottom w:val="single" w:sz="2" w:space="0" w:color="auto"/>
              <w:right w:val="single" w:sz="2" w:space="0" w:color="auto"/>
            </w:tcBorders>
            <w:shd w:val="clear" w:color="auto" w:fill="auto"/>
            <w:tcMar>
              <w:top w:w="45" w:type="dxa"/>
              <w:left w:w="45" w:type="dxa"/>
              <w:bottom w:w="45" w:type="dxa"/>
              <w:right w:w="45" w:type="dxa"/>
            </w:tcMar>
            <w:vAlign w:val="bottom"/>
            <w:hideMark/>
          </w:tcPr>
          <w:p w14:paraId="48225348" w14:textId="77777777" w:rsidR="005E4BB9" w:rsidRPr="005E4BB9" w:rsidRDefault="005E4BB9" w:rsidP="005E4BB9">
            <w:pPr>
              <w:shd w:val="clear" w:color="auto" w:fill="FFFFFF" w:themeFill="background1"/>
              <w:spacing w:after="0" w:line="240" w:lineRule="auto"/>
              <w:jc w:val="both"/>
              <w:rPr>
                <w:rFonts w:ascii="Overpass" w:eastAsia="Times New Roman" w:hAnsi="Overpass" w:cs="Calibri"/>
                <w:color w:val="212121"/>
                <w:lang w:eastAsia="it-IT"/>
              </w:rPr>
            </w:pPr>
            <w:r w:rsidRPr="005E4BB9">
              <w:rPr>
                <w:rFonts w:ascii="Overpass" w:eastAsia="Times New Roman" w:hAnsi="Overpass" w:cs="Calibri"/>
                <w:color w:val="212121"/>
                <w:lang w:eastAsia="it-IT"/>
              </w:rPr>
              <w:t> </w:t>
            </w:r>
          </w:p>
        </w:tc>
      </w:tr>
    </w:tbl>
    <w:p w14:paraId="2930539B" w14:textId="77777777" w:rsidR="005E4BB9" w:rsidRDefault="005E4BB9" w:rsidP="00BE3951">
      <w:pPr>
        <w:shd w:val="clear" w:color="auto" w:fill="FFFFFF" w:themeFill="background1"/>
        <w:spacing w:after="0" w:line="240" w:lineRule="auto"/>
        <w:jc w:val="both"/>
        <w:rPr>
          <w:rFonts w:ascii="Overpass" w:eastAsia="Times New Roman" w:hAnsi="Overpass" w:cs="Calibri"/>
          <w:color w:val="212121"/>
          <w:lang w:eastAsia="it-IT"/>
        </w:rPr>
      </w:pPr>
    </w:p>
    <w:p w14:paraId="49C061CF" w14:textId="52BC9F19" w:rsidR="00BE3951" w:rsidRDefault="00BE3951" w:rsidP="00BE3951">
      <w:pPr>
        <w:shd w:val="clear" w:color="auto" w:fill="FFFFFF" w:themeFill="background1"/>
        <w:spacing w:after="0" w:line="240" w:lineRule="auto"/>
        <w:jc w:val="both"/>
        <w:rPr>
          <w:rFonts w:ascii="Overpass" w:eastAsia="Times New Roman" w:hAnsi="Overpass" w:cs="Calibri"/>
          <w:i/>
          <w:iCs/>
          <w:color w:val="212121"/>
          <w:lang w:eastAsia="it-IT"/>
        </w:rPr>
      </w:pPr>
      <w:r w:rsidRPr="00BE3951">
        <w:rPr>
          <w:rFonts w:ascii="Overpass" w:eastAsia="Times New Roman" w:hAnsi="Overpass" w:cs="Calibri"/>
          <w:color w:val="212121"/>
          <w:lang w:eastAsia="it-IT"/>
        </w:rPr>
        <w:lastRenderedPageBreak/>
        <w:t>The below table summarizes key preliminary financial results for the three months ended March 31, 2024.</w:t>
      </w:r>
      <w:r w:rsidRPr="00BE3951">
        <w:rPr>
          <w:rFonts w:ascii="Overpass" w:eastAsia="Times New Roman" w:hAnsi="Overpass" w:cs="Calibri"/>
          <w:color w:val="212121"/>
          <w:lang w:eastAsia="it-IT"/>
        </w:rPr>
        <w:br/>
      </w:r>
      <w:r w:rsidRPr="00BE3951">
        <w:rPr>
          <w:rFonts w:ascii="Overpass" w:eastAsia="Times New Roman" w:hAnsi="Overpass" w:cs="Calibri"/>
          <w:i/>
          <w:iCs/>
          <w:color w:val="212121"/>
          <w:lang w:eastAsia="it-IT"/>
        </w:rPr>
        <w:t>(in millions of U.S. dollars, unaudited)</w:t>
      </w:r>
    </w:p>
    <w:p w14:paraId="695070E8" w14:textId="77777777" w:rsidR="00BE3951" w:rsidRDefault="00BE3951" w:rsidP="00BE3951">
      <w:pPr>
        <w:shd w:val="clear" w:color="auto" w:fill="FFFFFF" w:themeFill="background1"/>
        <w:spacing w:after="0" w:line="240" w:lineRule="auto"/>
        <w:jc w:val="both"/>
        <w:rPr>
          <w:rFonts w:ascii="Overpass" w:eastAsia="Times New Roman" w:hAnsi="Overpass" w:cs="Calibri"/>
          <w:i/>
          <w:iCs/>
          <w:color w:val="212121"/>
          <w:lang w:eastAsia="it-IT"/>
        </w:rPr>
      </w:pPr>
    </w:p>
    <w:tbl>
      <w:tblPr>
        <w:tblW w:w="9761" w:type="dxa"/>
        <w:tblCellMar>
          <w:top w:w="15" w:type="dxa"/>
          <w:left w:w="15" w:type="dxa"/>
          <w:bottom w:w="15" w:type="dxa"/>
          <w:right w:w="15" w:type="dxa"/>
        </w:tblCellMar>
        <w:tblLook w:val="04A0" w:firstRow="1" w:lastRow="0" w:firstColumn="1" w:lastColumn="0" w:noHBand="0" w:noVBand="1"/>
      </w:tblPr>
      <w:tblGrid>
        <w:gridCol w:w="2733"/>
        <w:gridCol w:w="1757"/>
        <w:gridCol w:w="1757"/>
        <w:gridCol w:w="1757"/>
        <w:gridCol w:w="1757"/>
      </w:tblGrid>
      <w:tr w:rsidR="005E4BB9" w:rsidRPr="005E4BB9" w14:paraId="150C3F5F" w14:textId="77777777" w:rsidTr="005E4BB9">
        <w:trPr>
          <w:trHeight w:val="573"/>
        </w:trPr>
        <w:tc>
          <w:tcPr>
            <w:tcW w:w="2733" w:type="dxa"/>
            <w:tcBorders>
              <w:top w:val="single" w:sz="8" w:space="0" w:color="000000"/>
              <w:left w:val="single" w:sz="2" w:space="0" w:color="auto"/>
              <w:bottom w:val="single" w:sz="8" w:space="0" w:color="000000"/>
              <w:right w:val="single" w:sz="2" w:space="0" w:color="auto"/>
            </w:tcBorders>
            <w:shd w:val="clear" w:color="auto" w:fill="auto"/>
            <w:tcMar>
              <w:top w:w="45" w:type="dxa"/>
              <w:left w:w="45" w:type="dxa"/>
              <w:bottom w:w="45" w:type="dxa"/>
              <w:right w:w="45" w:type="dxa"/>
            </w:tcMar>
            <w:vAlign w:val="bottom"/>
            <w:hideMark/>
          </w:tcPr>
          <w:p w14:paraId="3334A28D" w14:textId="77777777" w:rsidR="005E4BB9" w:rsidRPr="005E4BB9" w:rsidRDefault="005E4BB9" w:rsidP="005E4BB9">
            <w:pPr>
              <w:shd w:val="clear" w:color="auto" w:fill="FFFFFF" w:themeFill="background1"/>
              <w:spacing w:after="0" w:line="240" w:lineRule="auto"/>
              <w:jc w:val="both"/>
              <w:rPr>
                <w:rFonts w:ascii="Overpass" w:eastAsia="Times New Roman" w:hAnsi="Overpass" w:cs="Calibri"/>
                <w:color w:val="212121"/>
                <w:lang w:eastAsia="it-IT"/>
              </w:rPr>
            </w:pPr>
            <w:r w:rsidRPr="005E4BB9">
              <w:rPr>
                <w:rFonts w:ascii="Overpass" w:eastAsia="Times New Roman" w:hAnsi="Overpass" w:cs="Calibri"/>
                <w:color w:val="212121"/>
                <w:lang w:eastAsia="it-IT"/>
              </w:rPr>
              <w:t> </w:t>
            </w:r>
          </w:p>
        </w:tc>
        <w:tc>
          <w:tcPr>
            <w:tcW w:w="1757" w:type="dxa"/>
            <w:tcBorders>
              <w:top w:val="single" w:sz="8" w:space="0" w:color="000000"/>
              <w:left w:val="single" w:sz="2" w:space="0" w:color="auto"/>
              <w:bottom w:val="single" w:sz="8" w:space="0" w:color="000000"/>
              <w:right w:val="single" w:sz="2" w:space="0" w:color="auto"/>
            </w:tcBorders>
            <w:shd w:val="clear" w:color="auto" w:fill="auto"/>
            <w:tcMar>
              <w:top w:w="45" w:type="dxa"/>
              <w:left w:w="45" w:type="dxa"/>
              <w:bottom w:w="45" w:type="dxa"/>
              <w:right w:w="45" w:type="dxa"/>
            </w:tcMar>
            <w:vAlign w:val="bottom"/>
            <w:hideMark/>
          </w:tcPr>
          <w:p w14:paraId="054CD537" w14:textId="77777777" w:rsidR="005E4BB9" w:rsidRPr="005E4BB9" w:rsidRDefault="005E4BB9" w:rsidP="005E4BB9">
            <w:pPr>
              <w:shd w:val="clear" w:color="auto" w:fill="FFFFFF" w:themeFill="background1"/>
              <w:spacing w:after="0" w:line="240" w:lineRule="auto"/>
              <w:jc w:val="both"/>
              <w:rPr>
                <w:rFonts w:ascii="Overpass" w:eastAsia="Times New Roman" w:hAnsi="Overpass" w:cs="Calibri"/>
                <w:color w:val="212121"/>
                <w:lang w:eastAsia="it-IT"/>
              </w:rPr>
            </w:pPr>
            <w:r w:rsidRPr="005E4BB9">
              <w:rPr>
                <w:rFonts w:ascii="Overpass" w:eastAsia="Times New Roman" w:hAnsi="Overpass" w:cs="Calibri"/>
                <w:b/>
                <w:bCs/>
                <w:color w:val="212121"/>
                <w:lang w:eastAsia="it-IT"/>
              </w:rPr>
              <w:t> 1Q 2024</w:t>
            </w:r>
          </w:p>
        </w:tc>
        <w:tc>
          <w:tcPr>
            <w:tcW w:w="1757" w:type="dxa"/>
            <w:tcBorders>
              <w:top w:val="single" w:sz="8" w:space="0" w:color="000000"/>
              <w:left w:val="single" w:sz="2" w:space="0" w:color="auto"/>
              <w:bottom w:val="single" w:sz="8" w:space="0" w:color="000000"/>
              <w:right w:val="single" w:sz="2" w:space="0" w:color="auto"/>
            </w:tcBorders>
            <w:shd w:val="clear" w:color="auto" w:fill="auto"/>
            <w:tcMar>
              <w:top w:w="45" w:type="dxa"/>
              <w:left w:w="45" w:type="dxa"/>
              <w:bottom w:w="45" w:type="dxa"/>
              <w:right w:w="45" w:type="dxa"/>
            </w:tcMar>
            <w:vAlign w:val="bottom"/>
            <w:hideMark/>
          </w:tcPr>
          <w:p w14:paraId="6F9C5839" w14:textId="77777777" w:rsidR="005E4BB9" w:rsidRPr="005E4BB9" w:rsidRDefault="005E4BB9" w:rsidP="005E4BB9">
            <w:pPr>
              <w:shd w:val="clear" w:color="auto" w:fill="FFFFFF" w:themeFill="background1"/>
              <w:spacing w:after="0" w:line="240" w:lineRule="auto"/>
              <w:jc w:val="both"/>
              <w:rPr>
                <w:rFonts w:ascii="Overpass" w:eastAsia="Times New Roman" w:hAnsi="Overpass" w:cs="Calibri"/>
                <w:color w:val="212121"/>
                <w:lang w:eastAsia="it-IT"/>
              </w:rPr>
            </w:pPr>
            <w:r w:rsidRPr="005E4BB9">
              <w:rPr>
                <w:rFonts w:ascii="Overpass" w:eastAsia="Times New Roman" w:hAnsi="Overpass" w:cs="Calibri"/>
                <w:b/>
                <w:bCs/>
                <w:color w:val="212121"/>
                <w:lang w:eastAsia="it-IT"/>
              </w:rPr>
              <w:t>1Q 2023</w:t>
            </w:r>
          </w:p>
        </w:tc>
        <w:tc>
          <w:tcPr>
            <w:tcW w:w="1757" w:type="dxa"/>
            <w:tcBorders>
              <w:top w:val="single" w:sz="8" w:space="0" w:color="000000"/>
              <w:left w:val="single" w:sz="2" w:space="0" w:color="auto"/>
              <w:bottom w:val="single" w:sz="8" w:space="0" w:color="000000"/>
              <w:right w:val="single" w:sz="2" w:space="0" w:color="auto"/>
            </w:tcBorders>
            <w:shd w:val="clear" w:color="auto" w:fill="auto"/>
            <w:tcMar>
              <w:top w:w="45" w:type="dxa"/>
              <w:left w:w="45" w:type="dxa"/>
              <w:bottom w:w="45" w:type="dxa"/>
              <w:right w:w="45" w:type="dxa"/>
            </w:tcMar>
            <w:vAlign w:val="bottom"/>
            <w:hideMark/>
          </w:tcPr>
          <w:p w14:paraId="5BF17A37" w14:textId="77777777" w:rsidR="005E4BB9" w:rsidRPr="005E4BB9" w:rsidRDefault="005E4BB9" w:rsidP="005E4BB9">
            <w:pPr>
              <w:shd w:val="clear" w:color="auto" w:fill="FFFFFF" w:themeFill="background1"/>
              <w:spacing w:after="0" w:line="240" w:lineRule="auto"/>
              <w:jc w:val="both"/>
              <w:rPr>
                <w:rFonts w:ascii="Overpass" w:eastAsia="Times New Roman" w:hAnsi="Overpass" w:cs="Calibri"/>
                <w:color w:val="212121"/>
                <w:lang w:eastAsia="it-IT"/>
              </w:rPr>
            </w:pPr>
            <w:r w:rsidRPr="005E4BB9">
              <w:rPr>
                <w:rFonts w:ascii="Overpass" w:eastAsia="Times New Roman" w:hAnsi="Overpass" w:cs="Calibri"/>
                <w:b/>
                <w:bCs/>
                <w:color w:val="212121"/>
                <w:lang w:eastAsia="it-IT"/>
              </w:rPr>
              <w:t>% Change (YoY)</w:t>
            </w:r>
          </w:p>
        </w:tc>
        <w:tc>
          <w:tcPr>
            <w:tcW w:w="1757" w:type="dxa"/>
            <w:tcBorders>
              <w:top w:val="single" w:sz="8" w:space="0" w:color="000000"/>
              <w:left w:val="single" w:sz="2" w:space="0" w:color="auto"/>
              <w:bottom w:val="single" w:sz="8" w:space="0" w:color="000000"/>
              <w:right w:val="single" w:sz="2" w:space="0" w:color="auto"/>
            </w:tcBorders>
            <w:shd w:val="clear" w:color="auto" w:fill="auto"/>
            <w:tcMar>
              <w:top w:w="45" w:type="dxa"/>
              <w:left w:w="45" w:type="dxa"/>
              <w:bottom w:w="45" w:type="dxa"/>
              <w:right w:w="45" w:type="dxa"/>
            </w:tcMar>
            <w:vAlign w:val="bottom"/>
            <w:hideMark/>
          </w:tcPr>
          <w:p w14:paraId="59EA8564" w14:textId="77777777" w:rsidR="005E4BB9" w:rsidRPr="005E4BB9" w:rsidRDefault="005E4BB9" w:rsidP="005E4BB9">
            <w:pPr>
              <w:shd w:val="clear" w:color="auto" w:fill="FFFFFF" w:themeFill="background1"/>
              <w:spacing w:after="0" w:line="240" w:lineRule="auto"/>
              <w:jc w:val="both"/>
              <w:rPr>
                <w:rFonts w:ascii="Overpass" w:eastAsia="Times New Roman" w:hAnsi="Overpass" w:cs="Calibri"/>
                <w:color w:val="212121"/>
                <w:lang w:eastAsia="it-IT"/>
              </w:rPr>
            </w:pPr>
            <w:r w:rsidRPr="005E4BB9">
              <w:rPr>
                <w:rFonts w:ascii="Overpass" w:eastAsia="Times New Roman" w:hAnsi="Overpass" w:cs="Calibri"/>
                <w:b/>
                <w:bCs/>
                <w:color w:val="212121"/>
                <w:lang w:eastAsia="it-IT"/>
              </w:rPr>
              <w:t>FY2023</w:t>
            </w:r>
          </w:p>
        </w:tc>
      </w:tr>
      <w:tr w:rsidR="005E4BB9" w:rsidRPr="005E4BB9" w14:paraId="025B3D57" w14:textId="77777777" w:rsidTr="005E4BB9">
        <w:trPr>
          <w:trHeight w:val="293"/>
        </w:trPr>
        <w:tc>
          <w:tcPr>
            <w:tcW w:w="2733" w:type="dxa"/>
            <w:tcBorders>
              <w:top w:val="single" w:sz="8" w:space="0" w:color="000000"/>
              <w:left w:val="single" w:sz="2" w:space="0" w:color="auto"/>
              <w:bottom w:val="single" w:sz="2" w:space="0" w:color="auto"/>
              <w:right w:val="single" w:sz="2" w:space="0" w:color="auto"/>
            </w:tcBorders>
            <w:shd w:val="clear" w:color="auto" w:fill="auto"/>
            <w:tcMar>
              <w:top w:w="45" w:type="dxa"/>
              <w:left w:w="300" w:type="dxa"/>
              <w:bottom w:w="45" w:type="dxa"/>
              <w:right w:w="45" w:type="dxa"/>
            </w:tcMar>
            <w:vAlign w:val="bottom"/>
            <w:hideMark/>
          </w:tcPr>
          <w:p w14:paraId="11E7E486" w14:textId="77777777" w:rsidR="005E4BB9" w:rsidRPr="005E4BB9" w:rsidRDefault="005E4BB9" w:rsidP="005E4BB9">
            <w:pPr>
              <w:shd w:val="clear" w:color="auto" w:fill="FFFFFF" w:themeFill="background1"/>
              <w:spacing w:after="0" w:line="240" w:lineRule="auto"/>
              <w:rPr>
                <w:rFonts w:ascii="Overpass" w:eastAsia="Times New Roman" w:hAnsi="Overpass" w:cs="Calibri"/>
                <w:b/>
                <w:bCs/>
                <w:color w:val="212121"/>
                <w:lang w:eastAsia="it-IT"/>
              </w:rPr>
            </w:pPr>
            <w:r w:rsidRPr="005E4BB9">
              <w:rPr>
                <w:rFonts w:ascii="Overpass" w:eastAsia="Times New Roman" w:hAnsi="Overpass" w:cs="Calibri"/>
                <w:b/>
                <w:bCs/>
                <w:color w:val="212121"/>
                <w:lang w:eastAsia="it-IT"/>
              </w:rPr>
              <w:t>Revenue</w:t>
            </w:r>
          </w:p>
        </w:tc>
        <w:tc>
          <w:tcPr>
            <w:tcW w:w="1757" w:type="dxa"/>
            <w:tcBorders>
              <w:top w:val="single" w:sz="8" w:space="0" w:color="000000"/>
              <w:left w:val="single" w:sz="2" w:space="0" w:color="auto"/>
              <w:bottom w:val="single" w:sz="2" w:space="0" w:color="auto"/>
              <w:right w:val="single" w:sz="2" w:space="0" w:color="auto"/>
            </w:tcBorders>
            <w:shd w:val="clear" w:color="auto" w:fill="auto"/>
            <w:tcMar>
              <w:top w:w="45" w:type="dxa"/>
              <w:left w:w="45" w:type="dxa"/>
              <w:bottom w:w="45" w:type="dxa"/>
              <w:right w:w="0" w:type="dxa"/>
            </w:tcMar>
            <w:vAlign w:val="bottom"/>
            <w:hideMark/>
          </w:tcPr>
          <w:p w14:paraId="0836A753" w14:textId="77777777" w:rsidR="005E4BB9" w:rsidRPr="005E4BB9" w:rsidRDefault="005E4BB9" w:rsidP="005E4BB9">
            <w:pPr>
              <w:shd w:val="clear" w:color="auto" w:fill="FFFFFF" w:themeFill="background1"/>
              <w:spacing w:after="0" w:line="240" w:lineRule="auto"/>
              <w:jc w:val="both"/>
              <w:rPr>
                <w:rFonts w:ascii="Overpass" w:eastAsia="Times New Roman" w:hAnsi="Overpass" w:cs="Calibri"/>
                <w:color w:val="212121"/>
                <w:lang w:eastAsia="it-IT"/>
              </w:rPr>
            </w:pPr>
            <w:r w:rsidRPr="005E4BB9">
              <w:rPr>
                <w:rFonts w:ascii="Overpass" w:eastAsia="Times New Roman" w:hAnsi="Overpass" w:cs="Calibri"/>
                <w:color w:val="212121"/>
                <w:lang w:eastAsia="it-IT"/>
              </w:rPr>
              <w:t>173</w:t>
            </w:r>
          </w:p>
        </w:tc>
        <w:tc>
          <w:tcPr>
            <w:tcW w:w="0" w:type="auto"/>
            <w:tcBorders>
              <w:top w:val="single" w:sz="8" w:space="0" w:color="000000"/>
              <w:left w:val="single" w:sz="2" w:space="0" w:color="auto"/>
              <w:bottom w:val="single" w:sz="2" w:space="0" w:color="auto"/>
              <w:right w:val="single" w:sz="2" w:space="0" w:color="auto"/>
            </w:tcBorders>
            <w:shd w:val="clear" w:color="auto" w:fill="auto"/>
            <w:tcMar>
              <w:top w:w="45" w:type="dxa"/>
              <w:left w:w="45" w:type="dxa"/>
              <w:bottom w:w="45" w:type="dxa"/>
              <w:right w:w="0" w:type="dxa"/>
            </w:tcMar>
            <w:vAlign w:val="bottom"/>
            <w:hideMark/>
          </w:tcPr>
          <w:p w14:paraId="33BDC8EF" w14:textId="77777777" w:rsidR="005E4BB9" w:rsidRPr="005E4BB9" w:rsidRDefault="005E4BB9" w:rsidP="005E4BB9">
            <w:pPr>
              <w:shd w:val="clear" w:color="auto" w:fill="FFFFFF" w:themeFill="background1"/>
              <w:spacing w:after="0" w:line="240" w:lineRule="auto"/>
              <w:jc w:val="both"/>
              <w:rPr>
                <w:rFonts w:ascii="Overpass" w:eastAsia="Times New Roman" w:hAnsi="Overpass" w:cs="Calibri"/>
                <w:color w:val="212121"/>
                <w:lang w:eastAsia="it-IT"/>
              </w:rPr>
            </w:pPr>
            <w:r w:rsidRPr="005E4BB9">
              <w:rPr>
                <w:rFonts w:ascii="Overpass" w:eastAsia="Times New Roman" w:hAnsi="Overpass" w:cs="Calibri"/>
                <w:color w:val="212121"/>
                <w:lang w:eastAsia="it-IT"/>
              </w:rPr>
              <w:t>19</w:t>
            </w:r>
          </w:p>
        </w:tc>
        <w:tc>
          <w:tcPr>
            <w:tcW w:w="0" w:type="auto"/>
            <w:tcBorders>
              <w:top w:val="single" w:sz="8" w:space="0" w:color="000000"/>
              <w:left w:val="single" w:sz="2" w:space="0" w:color="auto"/>
              <w:bottom w:val="single" w:sz="2" w:space="0" w:color="auto"/>
              <w:right w:val="single" w:sz="2" w:space="0" w:color="auto"/>
            </w:tcBorders>
            <w:shd w:val="clear" w:color="auto" w:fill="auto"/>
            <w:tcMar>
              <w:top w:w="45" w:type="dxa"/>
              <w:left w:w="45" w:type="dxa"/>
              <w:bottom w:w="45" w:type="dxa"/>
              <w:right w:w="0" w:type="dxa"/>
            </w:tcMar>
            <w:vAlign w:val="bottom"/>
            <w:hideMark/>
          </w:tcPr>
          <w:p w14:paraId="12D251FE" w14:textId="77777777" w:rsidR="005E4BB9" w:rsidRPr="005E4BB9" w:rsidRDefault="005E4BB9" w:rsidP="005E4BB9">
            <w:pPr>
              <w:shd w:val="clear" w:color="auto" w:fill="FFFFFF" w:themeFill="background1"/>
              <w:spacing w:after="0" w:line="240" w:lineRule="auto"/>
              <w:jc w:val="both"/>
              <w:rPr>
                <w:rFonts w:ascii="Overpass" w:eastAsia="Times New Roman" w:hAnsi="Overpass" w:cs="Calibri"/>
                <w:color w:val="212121"/>
                <w:lang w:eastAsia="it-IT"/>
              </w:rPr>
            </w:pPr>
            <w:r w:rsidRPr="005E4BB9">
              <w:rPr>
                <w:rFonts w:ascii="Overpass" w:eastAsia="Times New Roman" w:hAnsi="Overpass" w:cs="Calibri"/>
                <w:color w:val="212121"/>
                <w:lang w:eastAsia="it-IT"/>
              </w:rPr>
              <w:t>811%</w:t>
            </w:r>
          </w:p>
        </w:tc>
        <w:tc>
          <w:tcPr>
            <w:tcW w:w="0" w:type="auto"/>
            <w:tcBorders>
              <w:top w:val="single" w:sz="8" w:space="0" w:color="000000"/>
              <w:left w:val="single" w:sz="2" w:space="0" w:color="auto"/>
              <w:bottom w:val="single" w:sz="2" w:space="0" w:color="auto"/>
              <w:right w:val="single" w:sz="2" w:space="0" w:color="auto"/>
            </w:tcBorders>
            <w:shd w:val="clear" w:color="auto" w:fill="auto"/>
            <w:tcMar>
              <w:top w:w="45" w:type="dxa"/>
              <w:left w:w="45" w:type="dxa"/>
              <w:bottom w:w="45" w:type="dxa"/>
              <w:right w:w="0" w:type="dxa"/>
            </w:tcMar>
            <w:vAlign w:val="bottom"/>
            <w:hideMark/>
          </w:tcPr>
          <w:p w14:paraId="29A03698" w14:textId="77777777" w:rsidR="005E4BB9" w:rsidRPr="005E4BB9" w:rsidRDefault="005E4BB9" w:rsidP="005E4BB9">
            <w:pPr>
              <w:shd w:val="clear" w:color="auto" w:fill="FFFFFF" w:themeFill="background1"/>
              <w:spacing w:after="0" w:line="240" w:lineRule="auto"/>
              <w:jc w:val="both"/>
              <w:rPr>
                <w:rFonts w:ascii="Overpass" w:eastAsia="Times New Roman" w:hAnsi="Overpass" w:cs="Calibri"/>
                <w:color w:val="212121"/>
                <w:lang w:eastAsia="it-IT"/>
              </w:rPr>
            </w:pPr>
            <w:r w:rsidRPr="005E4BB9">
              <w:rPr>
                <w:rFonts w:ascii="Overpass" w:eastAsia="Times New Roman" w:hAnsi="Overpass" w:cs="Calibri"/>
                <w:color w:val="212121"/>
                <w:lang w:eastAsia="it-IT"/>
              </w:rPr>
              <w:t>679</w:t>
            </w:r>
          </w:p>
        </w:tc>
      </w:tr>
      <w:tr w:rsidR="005E4BB9" w:rsidRPr="005E4BB9" w14:paraId="532C9F61" w14:textId="77777777" w:rsidTr="005E4BB9">
        <w:trPr>
          <w:trHeight w:val="279"/>
        </w:trPr>
        <w:tc>
          <w:tcPr>
            <w:tcW w:w="2733" w:type="dxa"/>
            <w:tcBorders>
              <w:top w:val="single" w:sz="2" w:space="0" w:color="auto"/>
              <w:left w:val="single" w:sz="2" w:space="0" w:color="auto"/>
              <w:bottom w:val="single" w:sz="2" w:space="0" w:color="auto"/>
              <w:right w:val="single" w:sz="2" w:space="0" w:color="auto"/>
            </w:tcBorders>
            <w:shd w:val="clear" w:color="auto" w:fill="auto"/>
            <w:tcMar>
              <w:top w:w="45" w:type="dxa"/>
              <w:left w:w="300" w:type="dxa"/>
              <w:bottom w:w="45" w:type="dxa"/>
              <w:right w:w="45" w:type="dxa"/>
            </w:tcMar>
            <w:vAlign w:val="bottom"/>
            <w:hideMark/>
          </w:tcPr>
          <w:p w14:paraId="014CD71A" w14:textId="77777777" w:rsidR="005E4BB9" w:rsidRPr="005E4BB9" w:rsidRDefault="005E4BB9" w:rsidP="005E4BB9">
            <w:pPr>
              <w:shd w:val="clear" w:color="auto" w:fill="FFFFFF" w:themeFill="background1"/>
              <w:spacing w:after="0" w:line="240" w:lineRule="auto"/>
              <w:rPr>
                <w:rFonts w:ascii="Overpass" w:eastAsia="Times New Roman" w:hAnsi="Overpass" w:cs="Calibri"/>
                <w:b/>
                <w:bCs/>
                <w:color w:val="212121"/>
                <w:lang w:eastAsia="it-IT"/>
              </w:rPr>
            </w:pPr>
            <w:r w:rsidRPr="005E4BB9">
              <w:rPr>
                <w:rFonts w:ascii="Overpass" w:eastAsia="Times New Roman" w:hAnsi="Overpass" w:cs="Calibri"/>
                <w:b/>
                <w:bCs/>
                <w:color w:val="212121"/>
                <w:lang w:eastAsia="it-IT"/>
              </w:rPr>
              <w:t>Cost of Revenues</w:t>
            </w:r>
          </w:p>
        </w:tc>
        <w:tc>
          <w:tcPr>
            <w:tcW w:w="1757" w:type="dxa"/>
            <w:tcBorders>
              <w:top w:val="single" w:sz="2" w:space="0" w:color="auto"/>
              <w:left w:val="single" w:sz="2" w:space="0" w:color="auto"/>
              <w:bottom w:val="single" w:sz="2" w:space="0" w:color="auto"/>
              <w:right w:val="single" w:sz="2" w:space="0" w:color="auto"/>
            </w:tcBorders>
            <w:shd w:val="clear" w:color="auto" w:fill="auto"/>
            <w:tcMar>
              <w:top w:w="45" w:type="dxa"/>
              <w:left w:w="45" w:type="dxa"/>
              <w:bottom w:w="45" w:type="dxa"/>
              <w:right w:w="0" w:type="dxa"/>
            </w:tcMar>
            <w:vAlign w:val="bottom"/>
            <w:hideMark/>
          </w:tcPr>
          <w:p w14:paraId="7BE49F2A" w14:textId="77777777" w:rsidR="005E4BB9" w:rsidRPr="005E4BB9" w:rsidRDefault="005E4BB9" w:rsidP="005E4BB9">
            <w:pPr>
              <w:shd w:val="clear" w:color="auto" w:fill="FFFFFF" w:themeFill="background1"/>
              <w:spacing w:after="0" w:line="240" w:lineRule="auto"/>
              <w:jc w:val="both"/>
              <w:rPr>
                <w:rFonts w:ascii="Overpass" w:eastAsia="Times New Roman" w:hAnsi="Overpass" w:cs="Calibri"/>
                <w:color w:val="212121"/>
                <w:lang w:eastAsia="it-IT"/>
              </w:rPr>
            </w:pPr>
            <w:r w:rsidRPr="005E4BB9">
              <w:rPr>
                <w:rFonts w:ascii="Overpass" w:eastAsia="Times New Roman" w:hAnsi="Overpass" w:cs="Calibri"/>
                <w:color w:val="212121"/>
                <w:lang w:eastAsia="it-IT"/>
              </w:rPr>
              <w:t>143</w:t>
            </w:r>
          </w:p>
        </w:tc>
        <w:tc>
          <w:tcPr>
            <w:tcW w:w="0" w:type="auto"/>
            <w:tcBorders>
              <w:top w:val="single" w:sz="2" w:space="0" w:color="auto"/>
              <w:left w:val="single" w:sz="2" w:space="0" w:color="auto"/>
              <w:bottom w:val="single" w:sz="2" w:space="0" w:color="auto"/>
              <w:right w:val="single" w:sz="2" w:space="0" w:color="auto"/>
            </w:tcBorders>
            <w:shd w:val="clear" w:color="auto" w:fill="auto"/>
            <w:tcMar>
              <w:top w:w="45" w:type="dxa"/>
              <w:left w:w="45" w:type="dxa"/>
              <w:bottom w:w="45" w:type="dxa"/>
              <w:right w:w="0" w:type="dxa"/>
            </w:tcMar>
            <w:vAlign w:val="bottom"/>
            <w:hideMark/>
          </w:tcPr>
          <w:p w14:paraId="0CBB113B" w14:textId="77777777" w:rsidR="005E4BB9" w:rsidRPr="005E4BB9" w:rsidRDefault="005E4BB9" w:rsidP="005E4BB9">
            <w:pPr>
              <w:shd w:val="clear" w:color="auto" w:fill="FFFFFF" w:themeFill="background1"/>
              <w:spacing w:after="0" w:line="240" w:lineRule="auto"/>
              <w:jc w:val="both"/>
              <w:rPr>
                <w:rFonts w:ascii="Overpass" w:eastAsia="Times New Roman" w:hAnsi="Overpass" w:cs="Calibri"/>
                <w:color w:val="212121"/>
                <w:lang w:eastAsia="it-IT"/>
              </w:rPr>
            </w:pPr>
            <w:r w:rsidRPr="005E4BB9">
              <w:rPr>
                <w:rFonts w:ascii="Overpass" w:eastAsia="Times New Roman" w:hAnsi="Overpass" w:cs="Calibri"/>
                <w:color w:val="212121"/>
                <w:lang w:eastAsia="it-IT"/>
              </w:rPr>
              <w:t>19</w:t>
            </w:r>
          </w:p>
        </w:tc>
        <w:tc>
          <w:tcPr>
            <w:tcW w:w="0" w:type="auto"/>
            <w:tcBorders>
              <w:top w:val="single" w:sz="2" w:space="0" w:color="auto"/>
              <w:left w:val="single" w:sz="2" w:space="0" w:color="auto"/>
              <w:bottom w:val="single" w:sz="2" w:space="0" w:color="auto"/>
              <w:right w:val="single" w:sz="2" w:space="0" w:color="auto"/>
            </w:tcBorders>
            <w:shd w:val="clear" w:color="auto" w:fill="auto"/>
            <w:tcMar>
              <w:top w:w="45" w:type="dxa"/>
              <w:left w:w="45" w:type="dxa"/>
              <w:bottom w:w="45" w:type="dxa"/>
              <w:right w:w="0" w:type="dxa"/>
            </w:tcMar>
            <w:vAlign w:val="bottom"/>
            <w:hideMark/>
          </w:tcPr>
          <w:p w14:paraId="7F90B835" w14:textId="77777777" w:rsidR="005E4BB9" w:rsidRPr="005E4BB9" w:rsidRDefault="005E4BB9" w:rsidP="005E4BB9">
            <w:pPr>
              <w:shd w:val="clear" w:color="auto" w:fill="FFFFFF" w:themeFill="background1"/>
              <w:spacing w:after="0" w:line="240" w:lineRule="auto"/>
              <w:jc w:val="both"/>
              <w:rPr>
                <w:rFonts w:ascii="Overpass" w:eastAsia="Times New Roman" w:hAnsi="Overpass" w:cs="Calibri"/>
                <w:color w:val="212121"/>
                <w:lang w:eastAsia="it-IT"/>
              </w:rPr>
            </w:pPr>
            <w:r w:rsidRPr="005E4BB9">
              <w:rPr>
                <w:rFonts w:ascii="Overpass" w:eastAsia="Times New Roman" w:hAnsi="Overpass" w:cs="Calibri"/>
                <w:color w:val="212121"/>
                <w:lang w:eastAsia="it-IT"/>
              </w:rPr>
              <w:t>653%</w:t>
            </w:r>
          </w:p>
        </w:tc>
        <w:tc>
          <w:tcPr>
            <w:tcW w:w="0" w:type="auto"/>
            <w:tcBorders>
              <w:top w:val="single" w:sz="2" w:space="0" w:color="auto"/>
              <w:left w:val="single" w:sz="2" w:space="0" w:color="auto"/>
              <w:bottom w:val="single" w:sz="2" w:space="0" w:color="auto"/>
              <w:right w:val="single" w:sz="2" w:space="0" w:color="auto"/>
            </w:tcBorders>
            <w:shd w:val="clear" w:color="auto" w:fill="auto"/>
            <w:tcMar>
              <w:top w:w="45" w:type="dxa"/>
              <w:left w:w="45" w:type="dxa"/>
              <w:bottom w:w="45" w:type="dxa"/>
              <w:right w:w="0" w:type="dxa"/>
            </w:tcMar>
            <w:vAlign w:val="bottom"/>
            <w:hideMark/>
          </w:tcPr>
          <w:p w14:paraId="6DF7B6CC" w14:textId="77777777" w:rsidR="005E4BB9" w:rsidRPr="005E4BB9" w:rsidRDefault="005E4BB9" w:rsidP="005E4BB9">
            <w:pPr>
              <w:shd w:val="clear" w:color="auto" w:fill="FFFFFF" w:themeFill="background1"/>
              <w:spacing w:after="0" w:line="240" w:lineRule="auto"/>
              <w:jc w:val="both"/>
              <w:rPr>
                <w:rFonts w:ascii="Overpass" w:eastAsia="Times New Roman" w:hAnsi="Overpass" w:cs="Calibri"/>
                <w:color w:val="212121"/>
                <w:lang w:eastAsia="it-IT"/>
              </w:rPr>
            </w:pPr>
            <w:r w:rsidRPr="005E4BB9">
              <w:rPr>
                <w:rFonts w:ascii="Overpass" w:eastAsia="Times New Roman" w:hAnsi="Overpass" w:cs="Calibri"/>
                <w:color w:val="212121"/>
                <w:lang w:eastAsia="it-IT"/>
              </w:rPr>
              <w:t>577</w:t>
            </w:r>
          </w:p>
        </w:tc>
      </w:tr>
      <w:tr w:rsidR="005E4BB9" w:rsidRPr="005E4BB9" w14:paraId="1415E00F" w14:textId="77777777" w:rsidTr="005E4BB9">
        <w:trPr>
          <w:trHeight w:val="293"/>
        </w:trPr>
        <w:tc>
          <w:tcPr>
            <w:tcW w:w="2733" w:type="dxa"/>
            <w:tcBorders>
              <w:top w:val="single" w:sz="2" w:space="0" w:color="auto"/>
              <w:left w:val="single" w:sz="2" w:space="0" w:color="auto"/>
              <w:bottom w:val="single" w:sz="2" w:space="0" w:color="auto"/>
              <w:right w:val="single" w:sz="2" w:space="0" w:color="auto"/>
            </w:tcBorders>
            <w:shd w:val="clear" w:color="auto" w:fill="auto"/>
            <w:tcMar>
              <w:top w:w="45" w:type="dxa"/>
              <w:left w:w="300" w:type="dxa"/>
              <w:bottom w:w="45" w:type="dxa"/>
              <w:right w:w="45" w:type="dxa"/>
            </w:tcMar>
            <w:vAlign w:val="bottom"/>
            <w:hideMark/>
          </w:tcPr>
          <w:p w14:paraId="71EB1C09" w14:textId="77777777" w:rsidR="005E4BB9" w:rsidRPr="005E4BB9" w:rsidRDefault="005E4BB9" w:rsidP="005E4BB9">
            <w:pPr>
              <w:shd w:val="clear" w:color="auto" w:fill="FFFFFF" w:themeFill="background1"/>
              <w:spacing w:after="0" w:line="240" w:lineRule="auto"/>
              <w:rPr>
                <w:rFonts w:ascii="Overpass" w:eastAsia="Times New Roman" w:hAnsi="Overpass" w:cs="Calibri"/>
                <w:b/>
                <w:bCs/>
                <w:color w:val="212121"/>
                <w:lang w:eastAsia="it-IT"/>
              </w:rPr>
            </w:pPr>
            <w:r w:rsidRPr="005E4BB9">
              <w:rPr>
                <w:rFonts w:ascii="Overpass" w:eastAsia="Times New Roman" w:hAnsi="Overpass" w:cs="Calibri"/>
                <w:b/>
                <w:bCs/>
                <w:color w:val="212121"/>
                <w:lang w:eastAsia="it-IT"/>
              </w:rPr>
              <w:t>Gross profit</w:t>
            </w:r>
          </w:p>
        </w:tc>
        <w:tc>
          <w:tcPr>
            <w:tcW w:w="1757" w:type="dxa"/>
            <w:tcBorders>
              <w:top w:val="single" w:sz="2" w:space="0" w:color="auto"/>
              <w:left w:val="single" w:sz="2" w:space="0" w:color="auto"/>
              <w:bottom w:val="single" w:sz="2" w:space="0" w:color="auto"/>
              <w:right w:val="single" w:sz="2" w:space="0" w:color="auto"/>
            </w:tcBorders>
            <w:shd w:val="clear" w:color="auto" w:fill="auto"/>
            <w:tcMar>
              <w:top w:w="45" w:type="dxa"/>
              <w:left w:w="45" w:type="dxa"/>
              <w:bottom w:w="45" w:type="dxa"/>
              <w:right w:w="0" w:type="dxa"/>
            </w:tcMar>
            <w:vAlign w:val="bottom"/>
            <w:hideMark/>
          </w:tcPr>
          <w:p w14:paraId="639F7044" w14:textId="77777777" w:rsidR="005E4BB9" w:rsidRPr="005E4BB9" w:rsidRDefault="005E4BB9" w:rsidP="005E4BB9">
            <w:pPr>
              <w:shd w:val="clear" w:color="auto" w:fill="FFFFFF" w:themeFill="background1"/>
              <w:spacing w:after="0" w:line="240" w:lineRule="auto"/>
              <w:jc w:val="both"/>
              <w:rPr>
                <w:rFonts w:ascii="Overpass" w:eastAsia="Times New Roman" w:hAnsi="Overpass" w:cs="Calibri"/>
                <w:color w:val="212121"/>
                <w:lang w:eastAsia="it-IT"/>
              </w:rPr>
            </w:pPr>
            <w:r w:rsidRPr="005E4BB9">
              <w:rPr>
                <w:rFonts w:ascii="Overpass" w:eastAsia="Times New Roman" w:hAnsi="Overpass" w:cs="Calibri"/>
                <w:color w:val="212121"/>
                <w:lang w:eastAsia="it-IT"/>
              </w:rPr>
              <w:t>30</w:t>
            </w:r>
          </w:p>
        </w:tc>
        <w:tc>
          <w:tcPr>
            <w:tcW w:w="0" w:type="auto"/>
            <w:tcBorders>
              <w:top w:val="single" w:sz="2" w:space="0" w:color="auto"/>
              <w:left w:val="single" w:sz="2" w:space="0" w:color="auto"/>
              <w:bottom w:val="single" w:sz="2" w:space="0" w:color="auto"/>
              <w:right w:val="single" w:sz="2" w:space="0" w:color="auto"/>
            </w:tcBorders>
            <w:shd w:val="clear" w:color="auto" w:fill="auto"/>
            <w:tcMar>
              <w:top w:w="45" w:type="dxa"/>
              <w:left w:w="45" w:type="dxa"/>
              <w:bottom w:w="45" w:type="dxa"/>
              <w:right w:w="0" w:type="dxa"/>
            </w:tcMar>
            <w:vAlign w:val="bottom"/>
            <w:hideMark/>
          </w:tcPr>
          <w:p w14:paraId="76A2C93A" w14:textId="77777777" w:rsidR="005E4BB9" w:rsidRPr="005E4BB9" w:rsidRDefault="005E4BB9" w:rsidP="005E4BB9">
            <w:pPr>
              <w:shd w:val="clear" w:color="auto" w:fill="FFFFFF" w:themeFill="background1"/>
              <w:spacing w:after="0" w:line="240" w:lineRule="auto"/>
              <w:jc w:val="both"/>
              <w:rPr>
                <w:rFonts w:ascii="Overpass" w:eastAsia="Times New Roman" w:hAnsi="Overpass" w:cs="Calibri"/>
                <w:color w:val="212121"/>
                <w:lang w:eastAsia="it-IT"/>
              </w:rPr>
            </w:pPr>
            <w:r w:rsidRPr="005E4BB9">
              <w:rPr>
                <w:rFonts w:ascii="Overpass" w:eastAsia="Times New Roman" w:hAnsi="Overpass" w:cs="Calibri"/>
                <w:color w:val="212121"/>
                <w:lang w:eastAsia="it-IT"/>
              </w:rPr>
              <w:t>0.2</w:t>
            </w:r>
          </w:p>
        </w:tc>
        <w:tc>
          <w:tcPr>
            <w:tcW w:w="0" w:type="auto"/>
            <w:tcBorders>
              <w:top w:val="single" w:sz="2" w:space="0" w:color="auto"/>
              <w:left w:val="single" w:sz="2" w:space="0" w:color="auto"/>
              <w:bottom w:val="single" w:sz="2" w:space="0" w:color="auto"/>
              <w:right w:val="single" w:sz="2" w:space="0" w:color="auto"/>
            </w:tcBorders>
            <w:shd w:val="clear" w:color="auto" w:fill="auto"/>
            <w:tcMar>
              <w:top w:w="45" w:type="dxa"/>
              <w:left w:w="45" w:type="dxa"/>
              <w:bottom w:w="45" w:type="dxa"/>
              <w:right w:w="0" w:type="dxa"/>
            </w:tcMar>
            <w:vAlign w:val="bottom"/>
            <w:hideMark/>
          </w:tcPr>
          <w:p w14:paraId="5E0E9ED2" w14:textId="77777777" w:rsidR="005E4BB9" w:rsidRPr="005E4BB9" w:rsidRDefault="005E4BB9" w:rsidP="005E4BB9">
            <w:pPr>
              <w:shd w:val="clear" w:color="auto" w:fill="FFFFFF" w:themeFill="background1"/>
              <w:spacing w:after="0" w:line="240" w:lineRule="auto"/>
              <w:jc w:val="both"/>
              <w:rPr>
                <w:rFonts w:ascii="Overpass" w:eastAsia="Times New Roman" w:hAnsi="Overpass" w:cs="Calibri"/>
                <w:color w:val="212121"/>
                <w:lang w:eastAsia="it-IT"/>
              </w:rPr>
            </w:pPr>
            <w:r w:rsidRPr="005E4BB9">
              <w:rPr>
                <w:rFonts w:ascii="Overpass" w:eastAsia="Times New Roman" w:hAnsi="Overpass" w:cs="Calibri"/>
                <w:color w:val="212121"/>
                <w:lang w:eastAsia="it-IT"/>
              </w:rPr>
              <w:t>-</w:t>
            </w:r>
          </w:p>
        </w:tc>
        <w:tc>
          <w:tcPr>
            <w:tcW w:w="0" w:type="auto"/>
            <w:tcBorders>
              <w:top w:val="single" w:sz="2" w:space="0" w:color="auto"/>
              <w:left w:val="single" w:sz="2" w:space="0" w:color="auto"/>
              <w:bottom w:val="single" w:sz="2" w:space="0" w:color="auto"/>
              <w:right w:val="single" w:sz="2" w:space="0" w:color="auto"/>
            </w:tcBorders>
            <w:shd w:val="clear" w:color="auto" w:fill="auto"/>
            <w:tcMar>
              <w:top w:w="45" w:type="dxa"/>
              <w:left w:w="45" w:type="dxa"/>
              <w:bottom w:w="45" w:type="dxa"/>
              <w:right w:w="0" w:type="dxa"/>
            </w:tcMar>
            <w:vAlign w:val="bottom"/>
            <w:hideMark/>
          </w:tcPr>
          <w:p w14:paraId="71EFB594" w14:textId="77777777" w:rsidR="005E4BB9" w:rsidRPr="005E4BB9" w:rsidRDefault="005E4BB9" w:rsidP="005E4BB9">
            <w:pPr>
              <w:shd w:val="clear" w:color="auto" w:fill="FFFFFF" w:themeFill="background1"/>
              <w:spacing w:after="0" w:line="240" w:lineRule="auto"/>
              <w:jc w:val="both"/>
              <w:rPr>
                <w:rFonts w:ascii="Overpass" w:eastAsia="Times New Roman" w:hAnsi="Overpass" w:cs="Calibri"/>
                <w:color w:val="212121"/>
                <w:lang w:eastAsia="it-IT"/>
              </w:rPr>
            </w:pPr>
            <w:r w:rsidRPr="005E4BB9">
              <w:rPr>
                <w:rFonts w:ascii="Overpass" w:eastAsia="Times New Roman" w:hAnsi="Overpass" w:cs="Calibri"/>
                <w:color w:val="212121"/>
                <w:lang w:eastAsia="it-IT"/>
              </w:rPr>
              <w:t>102</w:t>
            </w:r>
          </w:p>
        </w:tc>
      </w:tr>
      <w:tr w:rsidR="005E4BB9" w:rsidRPr="005E4BB9" w14:paraId="0DD77FBB" w14:textId="77777777" w:rsidTr="005E4BB9">
        <w:trPr>
          <w:trHeight w:val="279"/>
        </w:trPr>
        <w:tc>
          <w:tcPr>
            <w:tcW w:w="2733" w:type="dxa"/>
            <w:tcBorders>
              <w:top w:val="single" w:sz="2" w:space="0" w:color="auto"/>
              <w:left w:val="single" w:sz="2" w:space="0" w:color="auto"/>
              <w:bottom w:val="single" w:sz="2" w:space="0" w:color="auto"/>
              <w:right w:val="single" w:sz="2" w:space="0" w:color="auto"/>
            </w:tcBorders>
            <w:shd w:val="clear" w:color="auto" w:fill="auto"/>
            <w:tcMar>
              <w:top w:w="45" w:type="dxa"/>
              <w:left w:w="45" w:type="dxa"/>
              <w:bottom w:w="45" w:type="dxa"/>
              <w:right w:w="45" w:type="dxa"/>
            </w:tcMar>
            <w:vAlign w:val="bottom"/>
            <w:hideMark/>
          </w:tcPr>
          <w:p w14:paraId="26416B81" w14:textId="77777777" w:rsidR="005E4BB9" w:rsidRPr="005E4BB9" w:rsidRDefault="005E4BB9" w:rsidP="005E4BB9">
            <w:pPr>
              <w:shd w:val="clear" w:color="auto" w:fill="FFFFFF" w:themeFill="background1"/>
              <w:spacing w:after="0" w:line="240" w:lineRule="auto"/>
              <w:rPr>
                <w:rFonts w:ascii="Overpass" w:eastAsia="Times New Roman" w:hAnsi="Overpass" w:cs="Calibri"/>
                <w:b/>
                <w:bCs/>
                <w:color w:val="212121"/>
                <w:lang w:eastAsia="it-IT"/>
              </w:rPr>
            </w:pPr>
            <w:r w:rsidRPr="005E4BB9">
              <w:rPr>
                <w:rFonts w:ascii="Overpass" w:eastAsia="Times New Roman" w:hAnsi="Overpass" w:cs="Calibri"/>
                <w:b/>
                <w:bCs/>
                <w:i/>
                <w:iCs/>
                <w:color w:val="212121"/>
                <w:lang w:eastAsia="it-IT"/>
              </w:rPr>
              <w:t>Gross margin</w:t>
            </w:r>
          </w:p>
        </w:tc>
        <w:tc>
          <w:tcPr>
            <w:tcW w:w="1757" w:type="dxa"/>
            <w:tcBorders>
              <w:top w:val="single" w:sz="2" w:space="0" w:color="auto"/>
              <w:left w:val="single" w:sz="2" w:space="0" w:color="auto"/>
              <w:bottom w:val="single" w:sz="2" w:space="0" w:color="auto"/>
              <w:right w:val="single" w:sz="2" w:space="0" w:color="auto"/>
            </w:tcBorders>
            <w:shd w:val="clear" w:color="auto" w:fill="auto"/>
            <w:tcMar>
              <w:top w:w="45" w:type="dxa"/>
              <w:left w:w="45" w:type="dxa"/>
              <w:bottom w:w="45" w:type="dxa"/>
              <w:right w:w="0" w:type="dxa"/>
            </w:tcMar>
            <w:vAlign w:val="bottom"/>
            <w:hideMark/>
          </w:tcPr>
          <w:p w14:paraId="36C5F55A" w14:textId="77777777" w:rsidR="005E4BB9" w:rsidRPr="005E4BB9" w:rsidRDefault="005E4BB9" w:rsidP="005E4BB9">
            <w:pPr>
              <w:shd w:val="clear" w:color="auto" w:fill="FFFFFF" w:themeFill="background1"/>
              <w:spacing w:after="0" w:line="240" w:lineRule="auto"/>
              <w:jc w:val="both"/>
              <w:rPr>
                <w:rFonts w:ascii="Overpass" w:eastAsia="Times New Roman" w:hAnsi="Overpass" w:cs="Calibri"/>
                <w:color w:val="212121"/>
                <w:lang w:eastAsia="it-IT"/>
              </w:rPr>
            </w:pPr>
            <w:r w:rsidRPr="005E4BB9">
              <w:rPr>
                <w:rFonts w:ascii="Overpass" w:eastAsia="Times New Roman" w:hAnsi="Overpass" w:cs="Calibri"/>
                <w:color w:val="212121"/>
                <w:lang w:eastAsia="it-IT"/>
              </w:rPr>
              <w:t>18%</w:t>
            </w:r>
          </w:p>
        </w:tc>
        <w:tc>
          <w:tcPr>
            <w:tcW w:w="0" w:type="auto"/>
            <w:tcBorders>
              <w:top w:val="single" w:sz="2" w:space="0" w:color="auto"/>
              <w:left w:val="single" w:sz="2" w:space="0" w:color="auto"/>
              <w:bottom w:val="single" w:sz="2" w:space="0" w:color="auto"/>
              <w:right w:val="single" w:sz="2" w:space="0" w:color="auto"/>
            </w:tcBorders>
            <w:shd w:val="clear" w:color="auto" w:fill="auto"/>
            <w:tcMar>
              <w:top w:w="45" w:type="dxa"/>
              <w:left w:w="45" w:type="dxa"/>
              <w:bottom w:w="45" w:type="dxa"/>
              <w:right w:w="0" w:type="dxa"/>
            </w:tcMar>
            <w:vAlign w:val="bottom"/>
            <w:hideMark/>
          </w:tcPr>
          <w:p w14:paraId="63624E17" w14:textId="77777777" w:rsidR="005E4BB9" w:rsidRPr="005E4BB9" w:rsidRDefault="005E4BB9" w:rsidP="005E4BB9">
            <w:pPr>
              <w:shd w:val="clear" w:color="auto" w:fill="FFFFFF" w:themeFill="background1"/>
              <w:spacing w:after="0" w:line="240" w:lineRule="auto"/>
              <w:jc w:val="both"/>
              <w:rPr>
                <w:rFonts w:ascii="Overpass" w:eastAsia="Times New Roman" w:hAnsi="Overpass" w:cs="Calibri"/>
                <w:color w:val="212121"/>
                <w:lang w:eastAsia="it-IT"/>
              </w:rPr>
            </w:pPr>
            <w:r w:rsidRPr="005E4BB9">
              <w:rPr>
                <w:rFonts w:ascii="Overpass" w:eastAsia="Times New Roman" w:hAnsi="Overpass" w:cs="Calibri"/>
                <w:color w:val="212121"/>
                <w:lang w:eastAsia="it-IT"/>
              </w:rPr>
              <w:t>1%</w:t>
            </w:r>
          </w:p>
        </w:tc>
        <w:tc>
          <w:tcPr>
            <w:tcW w:w="0" w:type="auto"/>
            <w:tcBorders>
              <w:top w:val="single" w:sz="2" w:space="0" w:color="auto"/>
              <w:left w:val="single" w:sz="2" w:space="0" w:color="auto"/>
              <w:bottom w:val="single" w:sz="2" w:space="0" w:color="auto"/>
              <w:right w:val="single" w:sz="2" w:space="0" w:color="auto"/>
            </w:tcBorders>
            <w:shd w:val="clear" w:color="auto" w:fill="auto"/>
            <w:tcMar>
              <w:top w:w="45" w:type="dxa"/>
              <w:left w:w="45" w:type="dxa"/>
              <w:bottom w:w="45" w:type="dxa"/>
              <w:right w:w="0" w:type="dxa"/>
            </w:tcMar>
            <w:vAlign w:val="bottom"/>
            <w:hideMark/>
          </w:tcPr>
          <w:p w14:paraId="4D5AC4BC" w14:textId="77777777" w:rsidR="005E4BB9" w:rsidRPr="005E4BB9" w:rsidRDefault="005E4BB9" w:rsidP="005E4BB9">
            <w:pPr>
              <w:shd w:val="clear" w:color="auto" w:fill="FFFFFF" w:themeFill="background1"/>
              <w:spacing w:after="0" w:line="240" w:lineRule="auto"/>
              <w:jc w:val="both"/>
              <w:rPr>
                <w:rFonts w:ascii="Overpass" w:eastAsia="Times New Roman" w:hAnsi="Overpass" w:cs="Calibri"/>
                <w:color w:val="212121"/>
                <w:lang w:eastAsia="it-IT"/>
              </w:rPr>
            </w:pPr>
            <w:r w:rsidRPr="005E4BB9">
              <w:rPr>
                <w:rFonts w:ascii="Overpass" w:eastAsia="Times New Roman" w:hAnsi="Overpass" w:cs="Calibri"/>
                <w:color w:val="212121"/>
                <w:lang w:eastAsia="it-IT"/>
              </w:rPr>
              <w:t>-</w:t>
            </w:r>
          </w:p>
        </w:tc>
        <w:tc>
          <w:tcPr>
            <w:tcW w:w="0" w:type="auto"/>
            <w:tcBorders>
              <w:top w:val="single" w:sz="2" w:space="0" w:color="auto"/>
              <w:left w:val="single" w:sz="2" w:space="0" w:color="auto"/>
              <w:bottom w:val="single" w:sz="2" w:space="0" w:color="auto"/>
              <w:right w:val="single" w:sz="2" w:space="0" w:color="auto"/>
            </w:tcBorders>
            <w:shd w:val="clear" w:color="auto" w:fill="auto"/>
            <w:tcMar>
              <w:top w:w="45" w:type="dxa"/>
              <w:left w:w="45" w:type="dxa"/>
              <w:bottom w:w="45" w:type="dxa"/>
              <w:right w:w="0" w:type="dxa"/>
            </w:tcMar>
            <w:vAlign w:val="bottom"/>
            <w:hideMark/>
          </w:tcPr>
          <w:p w14:paraId="2E3A4E38" w14:textId="77777777" w:rsidR="005E4BB9" w:rsidRPr="005E4BB9" w:rsidRDefault="005E4BB9" w:rsidP="005E4BB9">
            <w:pPr>
              <w:shd w:val="clear" w:color="auto" w:fill="FFFFFF" w:themeFill="background1"/>
              <w:spacing w:after="0" w:line="240" w:lineRule="auto"/>
              <w:jc w:val="both"/>
              <w:rPr>
                <w:rFonts w:ascii="Overpass" w:eastAsia="Times New Roman" w:hAnsi="Overpass" w:cs="Calibri"/>
                <w:color w:val="212121"/>
                <w:lang w:eastAsia="it-IT"/>
              </w:rPr>
            </w:pPr>
            <w:r w:rsidRPr="005E4BB9">
              <w:rPr>
                <w:rFonts w:ascii="Overpass" w:eastAsia="Times New Roman" w:hAnsi="Overpass" w:cs="Calibri"/>
                <w:color w:val="212121"/>
                <w:lang w:eastAsia="it-IT"/>
              </w:rPr>
              <w:t>15%</w:t>
            </w:r>
          </w:p>
        </w:tc>
      </w:tr>
      <w:tr w:rsidR="005E4BB9" w:rsidRPr="005E4BB9" w14:paraId="5D90C6AB" w14:textId="77777777" w:rsidTr="005E4BB9">
        <w:trPr>
          <w:trHeight w:val="293"/>
        </w:trPr>
        <w:tc>
          <w:tcPr>
            <w:tcW w:w="2733" w:type="dxa"/>
            <w:tcBorders>
              <w:top w:val="single" w:sz="2" w:space="0" w:color="auto"/>
              <w:left w:val="single" w:sz="2" w:space="0" w:color="auto"/>
              <w:bottom w:val="single" w:sz="2" w:space="0" w:color="auto"/>
              <w:right w:val="single" w:sz="2" w:space="0" w:color="auto"/>
            </w:tcBorders>
            <w:shd w:val="clear" w:color="auto" w:fill="auto"/>
            <w:tcMar>
              <w:top w:w="45" w:type="dxa"/>
              <w:left w:w="300" w:type="dxa"/>
              <w:bottom w:w="45" w:type="dxa"/>
              <w:right w:w="45" w:type="dxa"/>
            </w:tcMar>
            <w:vAlign w:val="bottom"/>
            <w:hideMark/>
          </w:tcPr>
          <w:p w14:paraId="1F4BE40E" w14:textId="77777777" w:rsidR="005E4BB9" w:rsidRPr="005E4BB9" w:rsidRDefault="005E4BB9" w:rsidP="005E4BB9">
            <w:pPr>
              <w:shd w:val="clear" w:color="auto" w:fill="FFFFFF" w:themeFill="background1"/>
              <w:spacing w:after="0" w:line="240" w:lineRule="auto"/>
              <w:rPr>
                <w:rFonts w:ascii="Overpass" w:eastAsia="Times New Roman" w:hAnsi="Overpass" w:cs="Calibri"/>
                <w:b/>
                <w:bCs/>
                <w:color w:val="212121"/>
                <w:lang w:eastAsia="it-IT"/>
              </w:rPr>
            </w:pPr>
            <w:r w:rsidRPr="005E4BB9">
              <w:rPr>
                <w:rFonts w:ascii="Overpass" w:eastAsia="Times New Roman" w:hAnsi="Overpass" w:cs="Calibri"/>
                <w:b/>
                <w:bCs/>
                <w:color w:val="212121"/>
                <w:lang w:eastAsia="it-IT"/>
              </w:rPr>
              <w:t>Operating loss</w:t>
            </w:r>
          </w:p>
        </w:tc>
        <w:tc>
          <w:tcPr>
            <w:tcW w:w="1757" w:type="dxa"/>
            <w:tcBorders>
              <w:top w:val="single" w:sz="2" w:space="0" w:color="auto"/>
              <w:left w:val="single" w:sz="2" w:space="0" w:color="auto"/>
              <w:bottom w:val="single" w:sz="2" w:space="0" w:color="auto"/>
              <w:right w:val="single" w:sz="2" w:space="0" w:color="auto"/>
            </w:tcBorders>
            <w:shd w:val="clear" w:color="auto" w:fill="auto"/>
            <w:tcMar>
              <w:top w:w="45" w:type="dxa"/>
              <w:left w:w="45" w:type="dxa"/>
              <w:bottom w:w="45" w:type="dxa"/>
              <w:right w:w="0" w:type="dxa"/>
            </w:tcMar>
            <w:vAlign w:val="bottom"/>
            <w:hideMark/>
          </w:tcPr>
          <w:p w14:paraId="3D78ACA0" w14:textId="77777777" w:rsidR="005E4BB9" w:rsidRPr="005E4BB9" w:rsidRDefault="005E4BB9" w:rsidP="005E4BB9">
            <w:pPr>
              <w:shd w:val="clear" w:color="auto" w:fill="FFFFFF" w:themeFill="background1"/>
              <w:spacing w:after="0" w:line="240" w:lineRule="auto"/>
              <w:jc w:val="both"/>
              <w:rPr>
                <w:rFonts w:ascii="Overpass" w:eastAsia="Times New Roman" w:hAnsi="Overpass" w:cs="Calibri"/>
                <w:color w:val="212121"/>
                <w:lang w:eastAsia="it-IT"/>
              </w:rPr>
            </w:pPr>
            <w:r w:rsidRPr="005E4BB9">
              <w:rPr>
                <w:rFonts w:ascii="Overpass" w:eastAsia="Times New Roman" w:hAnsi="Overpass" w:cs="Calibri"/>
                <w:color w:val="212121"/>
                <w:lang w:eastAsia="it-IT"/>
              </w:rPr>
              <w:t>(233)</w:t>
            </w:r>
          </w:p>
        </w:tc>
        <w:tc>
          <w:tcPr>
            <w:tcW w:w="0" w:type="auto"/>
            <w:tcBorders>
              <w:top w:val="single" w:sz="2" w:space="0" w:color="auto"/>
              <w:left w:val="single" w:sz="2" w:space="0" w:color="auto"/>
              <w:bottom w:val="single" w:sz="2" w:space="0" w:color="auto"/>
              <w:right w:val="single" w:sz="2" w:space="0" w:color="auto"/>
            </w:tcBorders>
            <w:shd w:val="clear" w:color="auto" w:fill="auto"/>
            <w:tcMar>
              <w:top w:w="45" w:type="dxa"/>
              <w:left w:w="45" w:type="dxa"/>
              <w:bottom w:w="45" w:type="dxa"/>
              <w:right w:w="0" w:type="dxa"/>
            </w:tcMar>
            <w:vAlign w:val="bottom"/>
            <w:hideMark/>
          </w:tcPr>
          <w:p w14:paraId="59835129" w14:textId="77777777" w:rsidR="005E4BB9" w:rsidRPr="005E4BB9" w:rsidRDefault="005E4BB9" w:rsidP="005E4BB9">
            <w:pPr>
              <w:shd w:val="clear" w:color="auto" w:fill="FFFFFF" w:themeFill="background1"/>
              <w:spacing w:after="0" w:line="240" w:lineRule="auto"/>
              <w:jc w:val="both"/>
              <w:rPr>
                <w:rFonts w:ascii="Overpass" w:eastAsia="Times New Roman" w:hAnsi="Overpass" w:cs="Calibri"/>
                <w:color w:val="212121"/>
                <w:lang w:eastAsia="it-IT"/>
              </w:rPr>
            </w:pPr>
            <w:r w:rsidRPr="005E4BB9">
              <w:rPr>
                <w:rFonts w:ascii="Overpass" w:eastAsia="Times New Roman" w:hAnsi="Overpass" w:cs="Calibri"/>
                <w:color w:val="212121"/>
                <w:lang w:eastAsia="it-IT"/>
              </w:rPr>
              <w:t>(162)</w:t>
            </w:r>
          </w:p>
        </w:tc>
        <w:tc>
          <w:tcPr>
            <w:tcW w:w="0" w:type="auto"/>
            <w:tcBorders>
              <w:top w:val="single" w:sz="2" w:space="0" w:color="auto"/>
              <w:left w:val="single" w:sz="2" w:space="0" w:color="auto"/>
              <w:bottom w:val="single" w:sz="2" w:space="0" w:color="auto"/>
              <w:right w:val="single" w:sz="2" w:space="0" w:color="auto"/>
            </w:tcBorders>
            <w:shd w:val="clear" w:color="auto" w:fill="auto"/>
            <w:tcMar>
              <w:top w:w="45" w:type="dxa"/>
              <w:left w:w="45" w:type="dxa"/>
              <w:bottom w:w="45" w:type="dxa"/>
              <w:right w:w="0" w:type="dxa"/>
            </w:tcMar>
            <w:vAlign w:val="bottom"/>
            <w:hideMark/>
          </w:tcPr>
          <w:p w14:paraId="1DCD8656" w14:textId="77777777" w:rsidR="005E4BB9" w:rsidRPr="005E4BB9" w:rsidRDefault="005E4BB9" w:rsidP="005E4BB9">
            <w:pPr>
              <w:shd w:val="clear" w:color="auto" w:fill="FFFFFF" w:themeFill="background1"/>
              <w:spacing w:after="0" w:line="240" w:lineRule="auto"/>
              <w:jc w:val="both"/>
              <w:rPr>
                <w:rFonts w:ascii="Overpass" w:eastAsia="Times New Roman" w:hAnsi="Overpass" w:cs="Calibri"/>
                <w:color w:val="212121"/>
                <w:lang w:eastAsia="it-IT"/>
              </w:rPr>
            </w:pPr>
            <w:r w:rsidRPr="005E4BB9">
              <w:rPr>
                <w:rFonts w:ascii="Overpass" w:eastAsia="Times New Roman" w:hAnsi="Overpass" w:cs="Calibri"/>
                <w:color w:val="212121"/>
                <w:lang w:eastAsia="it-IT"/>
              </w:rPr>
              <w:t>44%</w:t>
            </w:r>
          </w:p>
        </w:tc>
        <w:tc>
          <w:tcPr>
            <w:tcW w:w="0" w:type="auto"/>
            <w:tcBorders>
              <w:top w:val="single" w:sz="2" w:space="0" w:color="auto"/>
              <w:left w:val="single" w:sz="2" w:space="0" w:color="auto"/>
              <w:bottom w:val="single" w:sz="2" w:space="0" w:color="auto"/>
              <w:right w:val="single" w:sz="2" w:space="0" w:color="auto"/>
            </w:tcBorders>
            <w:shd w:val="clear" w:color="auto" w:fill="auto"/>
            <w:tcMar>
              <w:top w:w="45" w:type="dxa"/>
              <w:left w:w="45" w:type="dxa"/>
              <w:bottom w:w="45" w:type="dxa"/>
              <w:right w:w="0" w:type="dxa"/>
            </w:tcMar>
            <w:vAlign w:val="bottom"/>
            <w:hideMark/>
          </w:tcPr>
          <w:p w14:paraId="70A74F0E" w14:textId="77777777" w:rsidR="005E4BB9" w:rsidRPr="005E4BB9" w:rsidRDefault="005E4BB9" w:rsidP="005E4BB9">
            <w:pPr>
              <w:shd w:val="clear" w:color="auto" w:fill="FFFFFF" w:themeFill="background1"/>
              <w:spacing w:after="0" w:line="240" w:lineRule="auto"/>
              <w:jc w:val="both"/>
              <w:rPr>
                <w:rFonts w:ascii="Overpass" w:eastAsia="Times New Roman" w:hAnsi="Overpass" w:cs="Calibri"/>
                <w:color w:val="212121"/>
                <w:lang w:eastAsia="it-IT"/>
              </w:rPr>
            </w:pPr>
            <w:r w:rsidRPr="005E4BB9">
              <w:rPr>
                <w:rFonts w:ascii="Overpass" w:eastAsia="Times New Roman" w:hAnsi="Overpass" w:cs="Calibri"/>
                <w:color w:val="212121"/>
                <w:lang w:eastAsia="it-IT"/>
              </w:rPr>
              <w:t>(736)</w:t>
            </w:r>
          </w:p>
        </w:tc>
      </w:tr>
      <w:tr w:rsidR="005E4BB9" w:rsidRPr="005E4BB9" w14:paraId="0050CFF8" w14:textId="77777777" w:rsidTr="005E4BB9">
        <w:trPr>
          <w:trHeight w:val="279"/>
        </w:trPr>
        <w:tc>
          <w:tcPr>
            <w:tcW w:w="2733" w:type="dxa"/>
            <w:tcBorders>
              <w:top w:val="single" w:sz="2" w:space="0" w:color="auto"/>
              <w:left w:val="single" w:sz="2" w:space="0" w:color="auto"/>
              <w:bottom w:val="single" w:sz="2" w:space="0" w:color="auto"/>
              <w:right w:val="single" w:sz="2" w:space="0" w:color="auto"/>
            </w:tcBorders>
            <w:shd w:val="clear" w:color="auto" w:fill="auto"/>
            <w:tcMar>
              <w:top w:w="45" w:type="dxa"/>
              <w:left w:w="300" w:type="dxa"/>
              <w:bottom w:w="45" w:type="dxa"/>
              <w:right w:w="45" w:type="dxa"/>
            </w:tcMar>
            <w:vAlign w:val="bottom"/>
            <w:hideMark/>
          </w:tcPr>
          <w:p w14:paraId="16226E42" w14:textId="77777777" w:rsidR="005E4BB9" w:rsidRPr="005E4BB9" w:rsidRDefault="005E4BB9" w:rsidP="005E4BB9">
            <w:pPr>
              <w:shd w:val="clear" w:color="auto" w:fill="FFFFFF" w:themeFill="background1"/>
              <w:spacing w:after="0" w:line="240" w:lineRule="auto"/>
              <w:rPr>
                <w:rFonts w:ascii="Overpass" w:eastAsia="Times New Roman" w:hAnsi="Overpass" w:cs="Calibri"/>
                <w:b/>
                <w:bCs/>
                <w:color w:val="212121"/>
                <w:lang w:eastAsia="it-IT"/>
              </w:rPr>
            </w:pPr>
            <w:r w:rsidRPr="005E4BB9">
              <w:rPr>
                <w:rFonts w:ascii="Overpass" w:eastAsia="Times New Roman" w:hAnsi="Overpass" w:cs="Calibri"/>
                <w:b/>
                <w:bCs/>
                <w:color w:val="212121"/>
                <w:lang w:eastAsia="it-IT"/>
              </w:rPr>
              <w:t>Net Loss</w:t>
            </w:r>
          </w:p>
        </w:tc>
        <w:tc>
          <w:tcPr>
            <w:tcW w:w="1757" w:type="dxa"/>
            <w:tcBorders>
              <w:top w:val="single" w:sz="2" w:space="0" w:color="auto"/>
              <w:left w:val="single" w:sz="2" w:space="0" w:color="auto"/>
              <w:bottom w:val="single" w:sz="2" w:space="0" w:color="auto"/>
              <w:right w:val="single" w:sz="2" w:space="0" w:color="auto"/>
            </w:tcBorders>
            <w:shd w:val="clear" w:color="auto" w:fill="auto"/>
            <w:tcMar>
              <w:top w:w="45" w:type="dxa"/>
              <w:left w:w="45" w:type="dxa"/>
              <w:bottom w:w="45" w:type="dxa"/>
              <w:right w:w="0" w:type="dxa"/>
            </w:tcMar>
            <w:vAlign w:val="bottom"/>
            <w:hideMark/>
          </w:tcPr>
          <w:p w14:paraId="41EC8F2D" w14:textId="77777777" w:rsidR="005E4BB9" w:rsidRPr="005E4BB9" w:rsidRDefault="005E4BB9" w:rsidP="005E4BB9">
            <w:pPr>
              <w:shd w:val="clear" w:color="auto" w:fill="FFFFFF" w:themeFill="background1"/>
              <w:spacing w:after="0" w:line="240" w:lineRule="auto"/>
              <w:jc w:val="both"/>
              <w:rPr>
                <w:rFonts w:ascii="Overpass" w:eastAsia="Times New Roman" w:hAnsi="Overpass" w:cs="Calibri"/>
                <w:color w:val="212121"/>
                <w:lang w:eastAsia="it-IT"/>
              </w:rPr>
            </w:pPr>
            <w:r w:rsidRPr="005E4BB9">
              <w:rPr>
                <w:rFonts w:ascii="Overpass" w:eastAsia="Times New Roman" w:hAnsi="Overpass" w:cs="Calibri"/>
                <w:color w:val="212121"/>
                <w:lang w:eastAsia="it-IT"/>
              </w:rPr>
              <w:t>(258)</w:t>
            </w:r>
          </w:p>
        </w:tc>
        <w:tc>
          <w:tcPr>
            <w:tcW w:w="0" w:type="auto"/>
            <w:tcBorders>
              <w:top w:val="single" w:sz="2" w:space="0" w:color="auto"/>
              <w:left w:val="single" w:sz="2" w:space="0" w:color="auto"/>
              <w:bottom w:val="single" w:sz="2" w:space="0" w:color="auto"/>
              <w:right w:val="single" w:sz="2" w:space="0" w:color="auto"/>
            </w:tcBorders>
            <w:shd w:val="clear" w:color="auto" w:fill="auto"/>
            <w:tcMar>
              <w:top w:w="45" w:type="dxa"/>
              <w:left w:w="45" w:type="dxa"/>
              <w:bottom w:w="45" w:type="dxa"/>
              <w:right w:w="0" w:type="dxa"/>
            </w:tcMar>
            <w:vAlign w:val="bottom"/>
            <w:hideMark/>
          </w:tcPr>
          <w:p w14:paraId="2B3D89D7" w14:textId="77777777" w:rsidR="005E4BB9" w:rsidRPr="005E4BB9" w:rsidRDefault="005E4BB9" w:rsidP="005E4BB9">
            <w:pPr>
              <w:shd w:val="clear" w:color="auto" w:fill="FFFFFF" w:themeFill="background1"/>
              <w:spacing w:after="0" w:line="240" w:lineRule="auto"/>
              <w:jc w:val="both"/>
              <w:rPr>
                <w:rFonts w:ascii="Overpass" w:eastAsia="Times New Roman" w:hAnsi="Overpass" w:cs="Calibri"/>
                <w:color w:val="212121"/>
                <w:lang w:eastAsia="it-IT"/>
              </w:rPr>
            </w:pPr>
            <w:r w:rsidRPr="005E4BB9">
              <w:rPr>
                <w:rFonts w:ascii="Overpass" w:eastAsia="Times New Roman" w:hAnsi="Overpass" w:cs="Calibri"/>
                <w:color w:val="212121"/>
                <w:lang w:eastAsia="it-IT"/>
              </w:rPr>
              <w:t>(160)</w:t>
            </w:r>
          </w:p>
        </w:tc>
        <w:tc>
          <w:tcPr>
            <w:tcW w:w="0" w:type="auto"/>
            <w:tcBorders>
              <w:top w:val="single" w:sz="2" w:space="0" w:color="auto"/>
              <w:left w:val="single" w:sz="2" w:space="0" w:color="auto"/>
              <w:bottom w:val="single" w:sz="2" w:space="0" w:color="auto"/>
              <w:right w:val="single" w:sz="2" w:space="0" w:color="auto"/>
            </w:tcBorders>
            <w:shd w:val="clear" w:color="auto" w:fill="auto"/>
            <w:tcMar>
              <w:top w:w="45" w:type="dxa"/>
              <w:left w:w="45" w:type="dxa"/>
              <w:bottom w:w="45" w:type="dxa"/>
              <w:right w:w="0" w:type="dxa"/>
            </w:tcMar>
            <w:vAlign w:val="bottom"/>
            <w:hideMark/>
          </w:tcPr>
          <w:p w14:paraId="72DDC46F" w14:textId="77777777" w:rsidR="005E4BB9" w:rsidRPr="005E4BB9" w:rsidRDefault="005E4BB9" w:rsidP="005E4BB9">
            <w:pPr>
              <w:shd w:val="clear" w:color="auto" w:fill="FFFFFF" w:themeFill="background1"/>
              <w:spacing w:after="0" w:line="240" w:lineRule="auto"/>
              <w:jc w:val="both"/>
              <w:rPr>
                <w:rFonts w:ascii="Overpass" w:eastAsia="Times New Roman" w:hAnsi="Overpass" w:cs="Calibri"/>
                <w:color w:val="212121"/>
                <w:lang w:eastAsia="it-IT"/>
              </w:rPr>
            </w:pPr>
            <w:r w:rsidRPr="005E4BB9">
              <w:rPr>
                <w:rFonts w:ascii="Overpass" w:eastAsia="Times New Roman" w:hAnsi="Overpass" w:cs="Calibri"/>
                <w:color w:val="212121"/>
                <w:lang w:eastAsia="it-IT"/>
              </w:rPr>
              <w:t>61%</w:t>
            </w:r>
          </w:p>
        </w:tc>
        <w:tc>
          <w:tcPr>
            <w:tcW w:w="0" w:type="auto"/>
            <w:tcBorders>
              <w:top w:val="single" w:sz="2" w:space="0" w:color="auto"/>
              <w:left w:val="single" w:sz="2" w:space="0" w:color="auto"/>
              <w:bottom w:val="single" w:sz="2" w:space="0" w:color="auto"/>
              <w:right w:val="single" w:sz="2" w:space="0" w:color="auto"/>
            </w:tcBorders>
            <w:shd w:val="clear" w:color="auto" w:fill="auto"/>
            <w:tcMar>
              <w:top w:w="45" w:type="dxa"/>
              <w:left w:w="45" w:type="dxa"/>
              <w:bottom w:w="45" w:type="dxa"/>
              <w:right w:w="0" w:type="dxa"/>
            </w:tcMar>
            <w:vAlign w:val="bottom"/>
            <w:hideMark/>
          </w:tcPr>
          <w:p w14:paraId="40C5D388" w14:textId="77777777" w:rsidR="005E4BB9" w:rsidRPr="005E4BB9" w:rsidRDefault="005E4BB9" w:rsidP="005E4BB9">
            <w:pPr>
              <w:shd w:val="clear" w:color="auto" w:fill="FFFFFF" w:themeFill="background1"/>
              <w:spacing w:after="0" w:line="240" w:lineRule="auto"/>
              <w:jc w:val="both"/>
              <w:rPr>
                <w:rFonts w:ascii="Overpass" w:eastAsia="Times New Roman" w:hAnsi="Overpass" w:cs="Calibri"/>
                <w:color w:val="212121"/>
                <w:lang w:eastAsia="it-IT"/>
              </w:rPr>
            </w:pPr>
            <w:r w:rsidRPr="005E4BB9">
              <w:rPr>
                <w:rFonts w:ascii="Overpass" w:eastAsia="Times New Roman" w:hAnsi="Overpass" w:cs="Calibri"/>
                <w:color w:val="212121"/>
                <w:lang w:eastAsia="it-IT"/>
              </w:rPr>
              <w:t>(750)</w:t>
            </w:r>
          </w:p>
        </w:tc>
      </w:tr>
      <w:tr w:rsidR="005E4BB9" w:rsidRPr="005E4BB9" w14:paraId="53BC51A4" w14:textId="77777777" w:rsidTr="005E4BB9">
        <w:trPr>
          <w:trHeight w:val="293"/>
        </w:trPr>
        <w:tc>
          <w:tcPr>
            <w:tcW w:w="2733" w:type="dxa"/>
            <w:tcBorders>
              <w:top w:val="single" w:sz="2" w:space="0" w:color="auto"/>
              <w:left w:val="single" w:sz="2" w:space="0" w:color="auto"/>
              <w:bottom w:val="single" w:sz="8" w:space="0" w:color="000000"/>
              <w:right w:val="single" w:sz="2" w:space="0" w:color="auto"/>
            </w:tcBorders>
            <w:shd w:val="clear" w:color="auto" w:fill="auto"/>
            <w:tcMar>
              <w:top w:w="45" w:type="dxa"/>
              <w:left w:w="300" w:type="dxa"/>
              <w:bottom w:w="45" w:type="dxa"/>
              <w:right w:w="45" w:type="dxa"/>
            </w:tcMar>
            <w:vAlign w:val="bottom"/>
            <w:hideMark/>
          </w:tcPr>
          <w:p w14:paraId="3746FC1D" w14:textId="77777777" w:rsidR="005E4BB9" w:rsidRPr="005E4BB9" w:rsidRDefault="005E4BB9" w:rsidP="005E4BB9">
            <w:pPr>
              <w:shd w:val="clear" w:color="auto" w:fill="FFFFFF" w:themeFill="background1"/>
              <w:spacing w:after="0" w:line="240" w:lineRule="auto"/>
              <w:rPr>
                <w:rFonts w:ascii="Overpass" w:eastAsia="Times New Roman" w:hAnsi="Overpass" w:cs="Calibri"/>
                <w:b/>
                <w:bCs/>
                <w:color w:val="212121"/>
                <w:lang w:eastAsia="it-IT"/>
              </w:rPr>
            </w:pPr>
            <w:r w:rsidRPr="005E4BB9">
              <w:rPr>
                <w:rFonts w:ascii="Overpass" w:eastAsia="Times New Roman" w:hAnsi="Overpass" w:cs="Calibri"/>
                <w:b/>
                <w:bCs/>
                <w:color w:val="212121"/>
                <w:lang w:eastAsia="it-IT"/>
              </w:rPr>
              <w:t>Adjusted EBITDA*</w:t>
            </w:r>
          </w:p>
        </w:tc>
        <w:tc>
          <w:tcPr>
            <w:tcW w:w="1757" w:type="dxa"/>
            <w:tcBorders>
              <w:top w:val="single" w:sz="2" w:space="0" w:color="auto"/>
              <w:left w:val="single" w:sz="2" w:space="0" w:color="auto"/>
              <w:bottom w:val="single" w:sz="8" w:space="0" w:color="000000"/>
              <w:right w:val="single" w:sz="2" w:space="0" w:color="auto"/>
            </w:tcBorders>
            <w:shd w:val="clear" w:color="auto" w:fill="auto"/>
            <w:tcMar>
              <w:top w:w="45" w:type="dxa"/>
              <w:left w:w="45" w:type="dxa"/>
              <w:bottom w:w="45" w:type="dxa"/>
              <w:right w:w="0" w:type="dxa"/>
            </w:tcMar>
            <w:vAlign w:val="bottom"/>
            <w:hideMark/>
          </w:tcPr>
          <w:p w14:paraId="3942C605" w14:textId="77777777" w:rsidR="005E4BB9" w:rsidRPr="005E4BB9" w:rsidRDefault="005E4BB9" w:rsidP="005E4BB9">
            <w:pPr>
              <w:shd w:val="clear" w:color="auto" w:fill="FFFFFF" w:themeFill="background1"/>
              <w:spacing w:after="0" w:line="240" w:lineRule="auto"/>
              <w:jc w:val="both"/>
              <w:rPr>
                <w:rFonts w:ascii="Overpass" w:eastAsia="Times New Roman" w:hAnsi="Overpass" w:cs="Calibri"/>
                <w:color w:val="212121"/>
                <w:lang w:eastAsia="it-IT"/>
              </w:rPr>
            </w:pPr>
            <w:r w:rsidRPr="005E4BB9">
              <w:rPr>
                <w:rFonts w:ascii="Overpass" w:eastAsia="Times New Roman" w:hAnsi="Overpass" w:cs="Calibri"/>
                <w:color w:val="212121"/>
                <w:lang w:eastAsia="it-IT"/>
              </w:rPr>
              <w:t>(204)</w:t>
            </w:r>
          </w:p>
        </w:tc>
        <w:tc>
          <w:tcPr>
            <w:tcW w:w="0" w:type="auto"/>
            <w:tcBorders>
              <w:top w:val="single" w:sz="2" w:space="0" w:color="auto"/>
              <w:left w:val="single" w:sz="2" w:space="0" w:color="auto"/>
              <w:bottom w:val="single" w:sz="8" w:space="0" w:color="000000"/>
              <w:right w:val="single" w:sz="2" w:space="0" w:color="auto"/>
            </w:tcBorders>
            <w:shd w:val="clear" w:color="auto" w:fill="auto"/>
            <w:tcMar>
              <w:top w:w="45" w:type="dxa"/>
              <w:left w:w="45" w:type="dxa"/>
              <w:bottom w:w="45" w:type="dxa"/>
              <w:right w:w="0" w:type="dxa"/>
            </w:tcMar>
            <w:vAlign w:val="bottom"/>
            <w:hideMark/>
          </w:tcPr>
          <w:p w14:paraId="51B37BBE" w14:textId="77777777" w:rsidR="005E4BB9" w:rsidRPr="005E4BB9" w:rsidRDefault="005E4BB9" w:rsidP="005E4BB9">
            <w:pPr>
              <w:shd w:val="clear" w:color="auto" w:fill="FFFFFF" w:themeFill="background1"/>
              <w:spacing w:after="0" w:line="240" w:lineRule="auto"/>
              <w:jc w:val="both"/>
              <w:rPr>
                <w:rFonts w:ascii="Overpass" w:eastAsia="Times New Roman" w:hAnsi="Overpass" w:cs="Calibri"/>
                <w:color w:val="212121"/>
                <w:lang w:eastAsia="it-IT"/>
              </w:rPr>
            </w:pPr>
            <w:r w:rsidRPr="005E4BB9">
              <w:rPr>
                <w:rFonts w:ascii="Overpass" w:eastAsia="Times New Roman" w:hAnsi="Overpass" w:cs="Calibri"/>
                <w:color w:val="212121"/>
                <w:lang w:eastAsia="it-IT"/>
              </w:rPr>
              <w:t>(154)</w:t>
            </w:r>
          </w:p>
        </w:tc>
        <w:tc>
          <w:tcPr>
            <w:tcW w:w="0" w:type="auto"/>
            <w:tcBorders>
              <w:top w:val="single" w:sz="2" w:space="0" w:color="auto"/>
              <w:left w:val="single" w:sz="2" w:space="0" w:color="auto"/>
              <w:bottom w:val="single" w:sz="8" w:space="0" w:color="000000"/>
              <w:right w:val="single" w:sz="2" w:space="0" w:color="auto"/>
            </w:tcBorders>
            <w:shd w:val="clear" w:color="auto" w:fill="auto"/>
            <w:tcMar>
              <w:top w:w="45" w:type="dxa"/>
              <w:left w:w="45" w:type="dxa"/>
              <w:bottom w:w="45" w:type="dxa"/>
              <w:right w:w="0" w:type="dxa"/>
            </w:tcMar>
            <w:vAlign w:val="bottom"/>
            <w:hideMark/>
          </w:tcPr>
          <w:p w14:paraId="6D9EFE43" w14:textId="77777777" w:rsidR="005E4BB9" w:rsidRPr="005E4BB9" w:rsidRDefault="005E4BB9" w:rsidP="005E4BB9">
            <w:pPr>
              <w:shd w:val="clear" w:color="auto" w:fill="FFFFFF" w:themeFill="background1"/>
              <w:spacing w:after="0" w:line="240" w:lineRule="auto"/>
              <w:jc w:val="both"/>
              <w:rPr>
                <w:rFonts w:ascii="Overpass" w:eastAsia="Times New Roman" w:hAnsi="Overpass" w:cs="Calibri"/>
                <w:color w:val="212121"/>
                <w:lang w:eastAsia="it-IT"/>
              </w:rPr>
            </w:pPr>
            <w:r w:rsidRPr="005E4BB9">
              <w:rPr>
                <w:rFonts w:ascii="Overpass" w:eastAsia="Times New Roman" w:hAnsi="Overpass" w:cs="Calibri"/>
                <w:color w:val="212121"/>
                <w:lang w:eastAsia="it-IT"/>
              </w:rPr>
              <w:t>32%</w:t>
            </w:r>
          </w:p>
        </w:tc>
        <w:tc>
          <w:tcPr>
            <w:tcW w:w="0" w:type="auto"/>
            <w:tcBorders>
              <w:top w:val="single" w:sz="2" w:space="0" w:color="auto"/>
              <w:left w:val="single" w:sz="2" w:space="0" w:color="auto"/>
              <w:bottom w:val="single" w:sz="8" w:space="0" w:color="000000"/>
              <w:right w:val="single" w:sz="2" w:space="0" w:color="auto"/>
            </w:tcBorders>
            <w:shd w:val="clear" w:color="auto" w:fill="auto"/>
            <w:tcMar>
              <w:top w:w="45" w:type="dxa"/>
              <w:left w:w="45" w:type="dxa"/>
              <w:bottom w:w="45" w:type="dxa"/>
              <w:right w:w="0" w:type="dxa"/>
            </w:tcMar>
            <w:vAlign w:val="bottom"/>
            <w:hideMark/>
          </w:tcPr>
          <w:p w14:paraId="078D532B" w14:textId="77777777" w:rsidR="005E4BB9" w:rsidRPr="005E4BB9" w:rsidRDefault="005E4BB9" w:rsidP="005E4BB9">
            <w:pPr>
              <w:shd w:val="clear" w:color="auto" w:fill="FFFFFF" w:themeFill="background1"/>
              <w:spacing w:after="0" w:line="240" w:lineRule="auto"/>
              <w:jc w:val="both"/>
              <w:rPr>
                <w:rFonts w:ascii="Overpass" w:eastAsia="Times New Roman" w:hAnsi="Overpass" w:cs="Calibri"/>
                <w:color w:val="212121"/>
                <w:lang w:eastAsia="it-IT"/>
              </w:rPr>
            </w:pPr>
            <w:r w:rsidRPr="005E4BB9">
              <w:rPr>
                <w:rFonts w:ascii="Overpass" w:eastAsia="Times New Roman" w:hAnsi="Overpass" w:cs="Calibri"/>
                <w:color w:val="212121"/>
                <w:lang w:eastAsia="it-IT"/>
              </w:rPr>
              <w:t>(693)</w:t>
            </w:r>
          </w:p>
        </w:tc>
      </w:tr>
      <w:tr w:rsidR="005E4BB9" w:rsidRPr="005E4BB9" w14:paraId="6353A251" w14:textId="77777777" w:rsidTr="005E4BB9">
        <w:trPr>
          <w:trHeight w:val="279"/>
        </w:trPr>
        <w:tc>
          <w:tcPr>
            <w:tcW w:w="2733" w:type="dxa"/>
            <w:tcBorders>
              <w:top w:val="single" w:sz="2" w:space="0" w:color="auto"/>
              <w:left w:val="single" w:sz="2" w:space="0" w:color="auto"/>
              <w:bottom w:val="single" w:sz="2" w:space="0" w:color="auto"/>
              <w:right w:val="single" w:sz="2" w:space="0" w:color="auto"/>
            </w:tcBorders>
            <w:shd w:val="clear" w:color="auto" w:fill="auto"/>
            <w:tcMar>
              <w:top w:w="45" w:type="dxa"/>
              <w:left w:w="300" w:type="dxa"/>
              <w:bottom w:w="45" w:type="dxa"/>
              <w:right w:w="45" w:type="dxa"/>
            </w:tcMar>
            <w:vAlign w:val="bottom"/>
            <w:hideMark/>
          </w:tcPr>
          <w:p w14:paraId="7A94E32E" w14:textId="77777777" w:rsidR="005E4BB9" w:rsidRPr="005E4BB9" w:rsidRDefault="005E4BB9" w:rsidP="005E4BB9">
            <w:pPr>
              <w:shd w:val="clear" w:color="auto" w:fill="FFFFFF" w:themeFill="background1"/>
              <w:spacing w:after="0" w:line="240" w:lineRule="auto"/>
              <w:jc w:val="both"/>
              <w:rPr>
                <w:rFonts w:ascii="Overpass" w:eastAsia="Times New Roman" w:hAnsi="Overpass" w:cs="Calibri"/>
                <w:color w:val="212121"/>
                <w:lang w:eastAsia="it-IT"/>
              </w:rPr>
            </w:pPr>
            <w:r w:rsidRPr="005E4BB9">
              <w:rPr>
                <w:rFonts w:ascii="Overpass" w:eastAsia="Times New Roman" w:hAnsi="Overpass" w:cs="Calibri"/>
                <w:color w:val="212121"/>
                <w:lang w:eastAsia="it-IT"/>
              </w:rPr>
              <w:t> </w:t>
            </w:r>
          </w:p>
        </w:tc>
        <w:tc>
          <w:tcPr>
            <w:tcW w:w="1757" w:type="dxa"/>
            <w:tcBorders>
              <w:top w:val="single" w:sz="2" w:space="0" w:color="auto"/>
              <w:left w:val="single" w:sz="2" w:space="0" w:color="auto"/>
              <w:bottom w:val="single" w:sz="2" w:space="0" w:color="auto"/>
              <w:right w:val="single" w:sz="2" w:space="0" w:color="auto"/>
            </w:tcBorders>
            <w:shd w:val="clear" w:color="auto" w:fill="auto"/>
            <w:tcMar>
              <w:top w:w="45" w:type="dxa"/>
              <w:left w:w="45" w:type="dxa"/>
              <w:bottom w:w="45" w:type="dxa"/>
              <w:right w:w="0" w:type="dxa"/>
            </w:tcMar>
            <w:vAlign w:val="bottom"/>
            <w:hideMark/>
          </w:tcPr>
          <w:p w14:paraId="3CDC5D6A" w14:textId="77777777" w:rsidR="005E4BB9" w:rsidRPr="005E4BB9" w:rsidRDefault="005E4BB9" w:rsidP="005E4BB9">
            <w:pPr>
              <w:shd w:val="clear" w:color="auto" w:fill="FFFFFF" w:themeFill="background1"/>
              <w:spacing w:after="0" w:line="240" w:lineRule="auto"/>
              <w:jc w:val="both"/>
              <w:rPr>
                <w:rFonts w:ascii="Overpass" w:eastAsia="Times New Roman" w:hAnsi="Overpass" w:cs="Calibri"/>
                <w:color w:val="212121"/>
                <w:lang w:eastAsia="it-IT"/>
              </w:rPr>
            </w:pPr>
            <w:r w:rsidRPr="005E4BB9">
              <w:rPr>
                <w:rFonts w:ascii="Overpass" w:eastAsia="Times New Roman" w:hAnsi="Overpass" w:cs="Calibri"/>
                <w:color w:val="212121"/>
                <w:lang w:eastAsia="it-IT"/>
              </w:rPr>
              <w:t> </w:t>
            </w:r>
          </w:p>
        </w:tc>
        <w:tc>
          <w:tcPr>
            <w:tcW w:w="0" w:type="auto"/>
            <w:tcBorders>
              <w:top w:val="single" w:sz="2" w:space="0" w:color="auto"/>
              <w:left w:val="single" w:sz="2" w:space="0" w:color="auto"/>
              <w:bottom w:val="single" w:sz="2" w:space="0" w:color="auto"/>
              <w:right w:val="single" w:sz="2" w:space="0" w:color="auto"/>
            </w:tcBorders>
            <w:shd w:val="clear" w:color="auto" w:fill="auto"/>
            <w:tcMar>
              <w:top w:w="45" w:type="dxa"/>
              <w:left w:w="45" w:type="dxa"/>
              <w:bottom w:w="45" w:type="dxa"/>
              <w:right w:w="0" w:type="dxa"/>
            </w:tcMar>
            <w:vAlign w:val="bottom"/>
            <w:hideMark/>
          </w:tcPr>
          <w:p w14:paraId="6CF86F2A" w14:textId="77777777" w:rsidR="005E4BB9" w:rsidRPr="005E4BB9" w:rsidRDefault="005E4BB9" w:rsidP="005E4BB9">
            <w:pPr>
              <w:shd w:val="clear" w:color="auto" w:fill="FFFFFF" w:themeFill="background1"/>
              <w:spacing w:after="0" w:line="240" w:lineRule="auto"/>
              <w:jc w:val="both"/>
              <w:rPr>
                <w:rFonts w:ascii="Overpass" w:eastAsia="Times New Roman" w:hAnsi="Overpass" w:cs="Calibri"/>
                <w:color w:val="212121"/>
                <w:lang w:eastAsia="it-IT"/>
              </w:rPr>
            </w:pPr>
            <w:r w:rsidRPr="005E4BB9">
              <w:rPr>
                <w:rFonts w:ascii="Overpass" w:eastAsia="Times New Roman" w:hAnsi="Overpass" w:cs="Calibri"/>
                <w:color w:val="212121"/>
                <w:lang w:eastAsia="it-IT"/>
              </w:rPr>
              <w:t> </w:t>
            </w:r>
          </w:p>
        </w:tc>
        <w:tc>
          <w:tcPr>
            <w:tcW w:w="0" w:type="auto"/>
            <w:tcBorders>
              <w:top w:val="single" w:sz="2" w:space="0" w:color="auto"/>
              <w:left w:val="single" w:sz="2" w:space="0" w:color="auto"/>
              <w:bottom w:val="single" w:sz="2" w:space="0" w:color="auto"/>
              <w:right w:val="single" w:sz="2" w:space="0" w:color="auto"/>
            </w:tcBorders>
            <w:shd w:val="clear" w:color="auto" w:fill="auto"/>
            <w:tcMar>
              <w:top w:w="45" w:type="dxa"/>
              <w:left w:w="45" w:type="dxa"/>
              <w:bottom w:w="45" w:type="dxa"/>
              <w:right w:w="0" w:type="dxa"/>
            </w:tcMar>
            <w:vAlign w:val="bottom"/>
            <w:hideMark/>
          </w:tcPr>
          <w:p w14:paraId="11CD9F4A" w14:textId="77777777" w:rsidR="005E4BB9" w:rsidRPr="005E4BB9" w:rsidRDefault="005E4BB9" w:rsidP="005E4BB9">
            <w:pPr>
              <w:shd w:val="clear" w:color="auto" w:fill="FFFFFF" w:themeFill="background1"/>
              <w:spacing w:after="0" w:line="240" w:lineRule="auto"/>
              <w:jc w:val="both"/>
              <w:rPr>
                <w:rFonts w:ascii="Overpass" w:eastAsia="Times New Roman" w:hAnsi="Overpass" w:cs="Calibri"/>
                <w:color w:val="212121"/>
                <w:lang w:eastAsia="it-IT"/>
              </w:rPr>
            </w:pPr>
            <w:r w:rsidRPr="005E4BB9">
              <w:rPr>
                <w:rFonts w:ascii="Overpass" w:eastAsia="Times New Roman" w:hAnsi="Overpass" w:cs="Calibri"/>
                <w:color w:val="212121"/>
                <w:lang w:eastAsia="it-IT"/>
              </w:rPr>
              <w:t> </w:t>
            </w:r>
          </w:p>
        </w:tc>
        <w:tc>
          <w:tcPr>
            <w:tcW w:w="0" w:type="auto"/>
            <w:tcBorders>
              <w:top w:val="single" w:sz="2" w:space="0" w:color="auto"/>
              <w:left w:val="single" w:sz="2" w:space="0" w:color="auto"/>
              <w:bottom w:val="single" w:sz="2" w:space="0" w:color="auto"/>
              <w:right w:val="single" w:sz="2" w:space="0" w:color="auto"/>
            </w:tcBorders>
            <w:shd w:val="clear" w:color="auto" w:fill="auto"/>
            <w:tcMar>
              <w:top w:w="45" w:type="dxa"/>
              <w:left w:w="45" w:type="dxa"/>
              <w:bottom w:w="45" w:type="dxa"/>
              <w:right w:w="0" w:type="dxa"/>
            </w:tcMar>
            <w:vAlign w:val="bottom"/>
            <w:hideMark/>
          </w:tcPr>
          <w:p w14:paraId="1864851F" w14:textId="77777777" w:rsidR="005E4BB9" w:rsidRPr="005E4BB9" w:rsidRDefault="005E4BB9" w:rsidP="005E4BB9">
            <w:pPr>
              <w:shd w:val="clear" w:color="auto" w:fill="FFFFFF" w:themeFill="background1"/>
              <w:spacing w:after="0" w:line="240" w:lineRule="auto"/>
              <w:jc w:val="both"/>
              <w:rPr>
                <w:rFonts w:ascii="Overpass" w:eastAsia="Times New Roman" w:hAnsi="Overpass" w:cs="Calibri"/>
                <w:color w:val="212121"/>
                <w:lang w:eastAsia="it-IT"/>
              </w:rPr>
            </w:pPr>
            <w:r w:rsidRPr="005E4BB9">
              <w:rPr>
                <w:rFonts w:ascii="Overpass" w:eastAsia="Times New Roman" w:hAnsi="Overpass" w:cs="Calibri"/>
                <w:color w:val="212121"/>
                <w:lang w:eastAsia="it-IT"/>
              </w:rPr>
              <w:t> </w:t>
            </w:r>
          </w:p>
        </w:tc>
      </w:tr>
    </w:tbl>
    <w:p w14:paraId="698DEC69" w14:textId="77777777" w:rsidR="005E4BB9" w:rsidRDefault="005E4BB9" w:rsidP="00BE3951">
      <w:pPr>
        <w:shd w:val="clear" w:color="auto" w:fill="FFFFFF" w:themeFill="background1"/>
        <w:spacing w:after="0" w:line="240" w:lineRule="auto"/>
        <w:jc w:val="both"/>
        <w:rPr>
          <w:rFonts w:ascii="Overpass" w:eastAsia="Times New Roman" w:hAnsi="Overpass" w:cs="Calibri"/>
          <w:i/>
          <w:iCs/>
          <w:color w:val="212121"/>
          <w:lang w:eastAsia="it-IT"/>
        </w:rPr>
      </w:pPr>
    </w:p>
    <w:p w14:paraId="6C95E075" w14:textId="77777777" w:rsidR="00BE3951" w:rsidRPr="00BE3951" w:rsidRDefault="00BE3951" w:rsidP="00BE3951">
      <w:pPr>
        <w:shd w:val="clear" w:color="auto" w:fill="FFFFFF" w:themeFill="background1"/>
        <w:spacing w:after="0" w:line="240" w:lineRule="auto"/>
        <w:jc w:val="both"/>
        <w:rPr>
          <w:rFonts w:ascii="Overpass" w:eastAsia="Times New Roman" w:hAnsi="Overpass" w:cs="Calibri"/>
          <w:color w:val="212121"/>
          <w:lang w:eastAsia="it-IT"/>
        </w:rPr>
      </w:pPr>
      <w:r w:rsidRPr="00BE3951">
        <w:rPr>
          <w:rFonts w:ascii="Overpass" w:eastAsia="Times New Roman" w:hAnsi="Overpass" w:cs="Calibri"/>
          <w:color w:val="212121"/>
          <w:vertAlign w:val="superscript"/>
          <w:lang w:eastAsia="it-IT"/>
        </w:rPr>
        <w:t>*Non-GAAP measure. See Appendix C for details and a reconciliation of adjusted metrics to the nearest GAAP measure.</w:t>
      </w:r>
    </w:p>
    <w:p w14:paraId="4CD0DD2B" w14:textId="77777777" w:rsidR="00BE3951" w:rsidRDefault="00BE3951" w:rsidP="00BE3951">
      <w:pPr>
        <w:shd w:val="clear" w:color="auto" w:fill="FFFFFF" w:themeFill="background1"/>
        <w:spacing w:after="0" w:line="240" w:lineRule="auto"/>
        <w:jc w:val="both"/>
        <w:rPr>
          <w:rFonts w:ascii="Overpass" w:eastAsia="Times New Roman" w:hAnsi="Overpass" w:cs="Calibri"/>
          <w:color w:val="212121"/>
          <w:lang w:eastAsia="it-IT"/>
        </w:rPr>
      </w:pPr>
    </w:p>
    <w:p w14:paraId="7BE3395B" w14:textId="571C4694" w:rsidR="00FB12A0" w:rsidRPr="00FB12A0" w:rsidRDefault="00BE3951" w:rsidP="00BE3951">
      <w:pPr>
        <w:shd w:val="clear" w:color="auto" w:fill="FFFFFF" w:themeFill="background1"/>
        <w:spacing w:after="0" w:line="240" w:lineRule="auto"/>
        <w:jc w:val="both"/>
        <w:rPr>
          <w:rFonts w:ascii="Overpass" w:eastAsia="Times New Roman" w:hAnsi="Overpass" w:cs="Calibri"/>
          <w:b/>
          <w:bCs/>
          <w:color w:val="212121"/>
          <w:lang w:eastAsia="it-IT"/>
        </w:rPr>
      </w:pPr>
      <w:r w:rsidRPr="00BE3951">
        <w:rPr>
          <w:rFonts w:ascii="Overpass" w:eastAsia="Times New Roman" w:hAnsi="Overpass" w:cs="Calibri"/>
          <w:b/>
          <w:bCs/>
          <w:color w:val="212121"/>
          <w:lang w:eastAsia="it-IT"/>
        </w:rPr>
        <w:t>Recent Developments</w:t>
      </w:r>
    </w:p>
    <w:p w14:paraId="78E5A8E5" w14:textId="77777777" w:rsidR="00BE3951" w:rsidRPr="00BE3951" w:rsidRDefault="00BE3951" w:rsidP="00BE3951">
      <w:pPr>
        <w:pStyle w:val="ListParagraph"/>
        <w:numPr>
          <w:ilvl w:val="0"/>
          <w:numId w:val="8"/>
        </w:numPr>
        <w:shd w:val="clear" w:color="auto" w:fill="FFFFFF" w:themeFill="background1"/>
        <w:spacing w:after="0" w:line="240" w:lineRule="auto"/>
        <w:jc w:val="both"/>
        <w:rPr>
          <w:rFonts w:ascii="Overpass" w:eastAsia="Times New Roman" w:hAnsi="Overpass" w:cs="Calibri"/>
          <w:color w:val="212121"/>
          <w:lang w:eastAsia="it-IT"/>
        </w:rPr>
      </w:pPr>
      <w:r w:rsidRPr="00BE3951">
        <w:rPr>
          <w:rFonts w:ascii="Overpass" w:eastAsia="Times New Roman" w:hAnsi="Overpass" w:cs="Calibri"/>
          <w:b/>
          <w:bCs/>
          <w:color w:val="212121"/>
          <w:lang w:eastAsia="it-IT"/>
        </w:rPr>
        <w:t>Global Premiere of Emeya Blossom Limited Edition</w:t>
      </w:r>
      <w:r w:rsidRPr="00BE3951">
        <w:rPr>
          <w:rFonts w:ascii="Overpass" w:eastAsia="Times New Roman" w:hAnsi="Overpass" w:cs="Calibri"/>
          <w:color w:val="212121"/>
          <w:lang w:eastAsia="it-IT"/>
        </w:rPr>
        <w:t>: In April, the Company revealed the Chapman Bespoke limited collection Emeya Blossom, a luxuriously customized vehicle integrating Colin Chapman’s charm into its design concept. This collection features rare gradient painting and 42 natural sapphires on the instrument panel, which garnered significant attention from viewers at the Beijing Auto Show.</w:t>
      </w:r>
    </w:p>
    <w:p w14:paraId="1D8D4A8F" w14:textId="77777777" w:rsidR="00BE3951" w:rsidRPr="00BE3951" w:rsidRDefault="00BE3951" w:rsidP="00BE3951">
      <w:pPr>
        <w:pStyle w:val="ListParagraph"/>
        <w:numPr>
          <w:ilvl w:val="0"/>
          <w:numId w:val="8"/>
        </w:numPr>
        <w:shd w:val="clear" w:color="auto" w:fill="FFFFFF" w:themeFill="background1"/>
        <w:spacing w:after="0" w:line="240" w:lineRule="auto"/>
        <w:jc w:val="both"/>
        <w:rPr>
          <w:rFonts w:ascii="Overpass" w:eastAsia="Times New Roman" w:hAnsi="Overpass" w:cs="Calibri"/>
          <w:color w:val="212121"/>
          <w:lang w:eastAsia="it-IT"/>
        </w:rPr>
      </w:pPr>
      <w:r w:rsidRPr="00BE3951">
        <w:rPr>
          <w:rFonts w:ascii="Overpass" w:eastAsia="Times New Roman" w:hAnsi="Overpass" w:cs="Calibri"/>
          <w:b/>
          <w:bCs/>
          <w:color w:val="212121"/>
          <w:lang w:eastAsia="it-IT"/>
        </w:rPr>
        <w:t>Beijing International Automotive Exhibition:</w:t>
      </w:r>
      <w:r w:rsidRPr="00BE3951">
        <w:rPr>
          <w:rFonts w:ascii="Overpass" w:eastAsia="Times New Roman" w:hAnsi="Overpass" w:cs="Calibri"/>
          <w:color w:val="212121"/>
          <w:lang w:eastAsia="it-IT"/>
        </w:rPr>
        <w:t xml:space="preserve"> The Company showcased limited editions of Lotus vehicles including the Evija Fittipaldi, Eletre Type 79, Emira Tailor Made, Type 66 as well as Emeya Blossom, which received a high level of customer interest during the 10-day exhibition.</w:t>
      </w:r>
    </w:p>
    <w:p w14:paraId="5072230B" w14:textId="4F0C8A1B" w:rsidR="00BE3951" w:rsidRPr="00BE3951" w:rsidRDefault="00BE3951" w:rsidP="00BE3951">
      <w:pPr>
        <w:pStyle w:val="ListParagraph"/>
        <w:numPr>
          <w:ilvl w:val="0"/>
          <w:numId w:val="8"/>
        </w:numPr>
        <w:shd w:val="clear" w:color="auto" w:fill="FFFFFF" w:themeFill="background1"/>
        <w:spacing w:after="0" w:line="240" w:lineRule="auto"/>
        <w:jc w:val="both"/>
        <w:rPr>
          <w:rFonts w:ascii="Overpass" w:eastAsia="Times New Roman" w:hAnsi="Overpass" w:cs="Calibri"/>
          <w:color w:val="212121"/>
          <w:lang w:eastAsia="it-IT"/>
        </w:rPr>
      </w:pPr>
      <w:r w:rsidRPr="00BE3951">
        <w:rPr>
          <w:rFonts w:ascii="Overpass" w:eastAsia="Times New Roman" w:hAnsi="Overpass" w:cs="Calibri"/>
          <w:b/>
          <w:bCs/>
          <w:color w:val="212121"/>
          <w:lang w:eastAsia="it-IT"/>
        </w:rPr>
        <w:t>Charging Solutions:</w:t>
      </w:r>
      <w:r w:rsidRPr="00BE3951">
        <w:rPr>
          <w:rFonts w:ascii="Overpass" w:eastAsia="Times New Roman" w:hAnsi="Overpass" w:cs="Calibri"/>
          <w:color w:val="212121"/>
          <w:lang w:eastAsia="it-IT"/>
        </w:rPr>
        <w:t xml:space="preserve"> Lotus Tech </w:t>
      </w:r>
      <w:proofErr w:type="gramStart"/>
      <w:r w:rsidRPr="00BE3951">
        <w:rPr>
          <w:rFonts w:ascii="Overpass" w:eastAsia="Times New Roman" w:hAnsi="Overpass" w:cs="Calibri"/>
          <w:color w:val="212121"/>
          <w:lang w:eastAsia="it-IT"/>
        </w:rPr>
        <w:t>entered into</w:t>
      </w:r>
      <w:proofErr w:type="gramEnd"/>
      <w:r w:rsidRPr="00BE3951">
        <w:rPr>
          <w:rFonts w:ascii="Overpass" w:eastAsia="Times New Roman" w:hAnsi="Overpass" w:cs="Calibri"/>
          <w:color w:val="212121"/>
          <w:lang w:eastAsia="it-IT"/>
        </w:rPr>
        <w:t xml:space="preserve"> a strategic partnership with NIO on battery charging, granting Lotus Tech vehicles with access to NIO’s network of over 2,000 charging stations across China.</w:t>
      </w:r>
    </w:p>
    <w:p w14:paraId="45B747B2" w14:textId="77777777" w:rsidR="00BE3951" w:rsidRPr="00BE3951" w:rsidRDefault="00BE3951" w:rsidP="00BE3951">
      <w:pPr>
        <w:pStyle w:val="ListParagraph"/>
        <w:numPr>
          <w:ilvl w:val="0"/>
          <w:numId w:val="8"/>
        </w:numPr>
        <w:shd w:val="clear" w:color="auto" w:fill="FFFFFF" w:themeFill="background1"/>
        <w:spacing w:after="0" w:line="240" w:lineRule="auto"/>
        <w:jc w:val="both"/>
        <w:rPr>
          <w:rFonts w:ascii="Overpass" w:eastAsia="Times New Roman" w:hAnsi="Overpass" w:cs="Calibri"/>
          <w:color w:val="212121"/>
          <w:lang w:eastAsia="it-IT"/>
        </w:rPr>
      </w:pPr>
      <w:r w:rsidRPr="00BE3951">
        <w:rPr>
          <w:rFonts w:ascii="Overpass" w:eastAsia="Times New Roman" w:hAnsi="Overpass" w:cs="Calibri"/>
          <w:b/>
          <w:bCs/>
          <w:color w:val="212121"/>
          <w:lang w:eastAsia="it-IT"/>
        </w:rPr>
        <w:t>ESG:</w:t>
      </w:r>
      <w:r w:rsidRPr="00BE3951">
        <w:rPr>
          <w:rFonts w:ascii="Overpass" w:eastAsia="Times New Roman" w:hAnsi="Overpass" w:cs="Calibri"/>
          <w:color w:val="212121"/>
          <w:lang w:eastAsia="it-IT"/>
        </w:rPr>
        <w:t xml:space="preserve"> In May, the Company published its annual 2023 Environmental, Social, and Governance (ESG) report, which outlined its achievements in building a green value chain, leading clean mobility, and upholding business integrity through the efforts in information security and privacy protection as well as in community support.</w:t>
      </w:r>
    </w:p>
    <w:p w14:paraId="40CC78F2" w14:textId="77777777" w:rsidR="00BE3951" w:rsidRDefault="00BE3951" w:rsidP="00BE3951">
      <w:pPr>
        <w:shd w:val="clear" w:color="auto" w:fill="FFFFFF" w:themeFill="background1"/>
        <w:spacing w:after="0" w:line="240" w:lineRule="auto"/>
        <w:jc w:val="both"/>
        <w:rPr>
          <w:rFonts w:ascii="Overpass" w:eastAsia="Times New Roman" w:hAnsi="Overpass" w:cs="Calibri"/>
          <w:color w:val="212121"/>
          <w:lang w:eastAsia="it-IT"/>
        </w:rPr>
      </w:pPr>
    </w:p>
    <w:p w14:paraId="28973E44" w14:textId="6B129399" w:rsidR="00BE3951" w:rsidRPr="00BE3951" w:rsidRDefault="00BE3951" w:rsidP="00BE3951">
      <w:pPr>
        <w:shd w:val="clear" w:color="auto" w:fill="FFFFFF" w:themeFill="background1"/>
        <w:spacing w:after="0" w:line="240" w:lineRule="auto"/>
        <w:jc w:val="both"/>
        <w:rPr>
          <w:rFonts w:ascii="Overpass" w:eastAsia="Times New Roman" w:hAnsi="Overpass" w:cs="Calibri"/>
          <w:b/>
          <w:bCs/>
          <w:color w:val="212121"/>
          <w:lang w:eastAsia="it-IT"/>
        </w:rPr>
      </w:pPr>
      <w:r w:rsidRPr="00BE3951">
        <w:rPr>
          <w:rFonts w:ascii="Overpass" w:eastAsia="Times New Roman" w:hAnsi="Overpass" w:cs="Calibri"/>
          <w:b/>
          <w:bCs/>
          <w:color w:val="212121"/>
          <w:lang w:eastAsia="it-IT"/>
        </w:rPr>
        <w:t>Conference Call</w:t>
      </w:r>
    </w:p>
    <w:p w14:paraId="3762D9A9" w14:textId="77777777" w:rsidR="00BE3951" w:rsidRPr="00BE3951" w:rsidRDefault="00BE3951" w:rsidP="00FB12A0">
      <w:pPr>
        <w:shd w:val="clear" w:color="auto" w:fill="FFFFFF" w:themeFill="background1"/>
        <w:spacing w:after="0" w:line="240" w:lineRule="auto"/>
        <w:rPr>
          <w:rFonts w:ascii="Overpass" w:eastAsia="Times New Roman" w:hAnsi="Overpass" w:cs="Calibri"/>
          <w:color w:val="212121"/>
          <w:lang w:eastAsia="it-IT"/>
        </w:rPr>
      </w:pPr>
      <w:r w:rsidRPr="00BE3951">
        <w:rPr>
          <w:rFonts w:ascii="Overpass" w:eastAsia="Times New Roman" w:hAnsi="Overpass" w:cs="Calibri"/>
          <w:color w:val="212121"/>
          <w:lang w:eastAsia="it-IT"/>
        </w:rPr>
        <w:t>Lotus Tech management will host an earnings conference call at 8:00 AM U.S. Eastern Time on Wednesday, May 29, 2024 (14:00 Central European Time / 20:00 China Standard Time on May 29, 2024) to discuss financial results and answer questions from investors and analysts.</w:t>
      </w:r>
    </w:p>
    <w:p w14:paraId="6644F75E" w14:textId="77777777" w:rsidR="00BE3951" w:rsidRPr="00BE3951" w:rsidRDefault="00BE3951" w:rsidP="00FB12A0">
      <w:pPr>
        <w:shd w:val="clear" w:color="auto" w:fill="FFFFFF" w:themeFill="background1"/>
        <w:spacing w:after="0" w:line="240" w:lineRule="auto"/>
        <w:rPr>
          <w:rFonts w:ascii="Overpass" w:eastAsia="Times New Roman" w:hAnsi="Overpass" w:cs="Calibri"/>
          <w:color w:val="212121"/>
          <w:lang w:eastAsia="it-IT"/>
        </w:rPr>
      </w:pPr>
    </w:p>
    <w:p w14:paraId="7ED2BC38" w14:textId="2A614705" w:rsidR="00BE3951" w:rsidRPr="00BE3951" w:rsidRDefault="00BE3951" w:rsidP="00FB12A0">
      <w:pPr>
        <w:shd w:val="clear" w:color="auto" w:fill="FFFFFF" w:themeFill="background1"/>
        <w:spacing w:after="0" w:line="240" w:lineRule="auto"/>
        <w:rPr>
          <w:rFonts w:ascii="Overpass" w:eastAsia="Times New Roman" w:hAnsi="Overpass" w:cs="Calibri"/>
          <w:color w:val="212121"/>
          <w:lang w:eastAsia="it-IT"/>
        </w:rPr>
      </w:pPr>
      <w:r w:rsidRPr="00BE3951">
        <w:rPr>
          <w:rFonts w:ascii="Overpass" w:eastAsia="Times New Roman" w:hAnsi="Overpass" w:cs="Calibri"/>
          <w:color w:val="212121"/>
          <w:lang w:eastAsia="it-IT"/>
        </w:rPr>
        <w:t xml:space="preserve">For participants who wish to join the webcast, please register at </w:t>
      </w:r>
      <w:hyperlink r:id="rId11" w:history="1">
        <w:r w:rsidRPr="00F310AB">
          <w:rPr>
            <w:rStyle w:val="Hyperlink"/>
            <w:rFonts w:ascii="Overpass" w:eastAsia="Times New Roman" w:hAnsi="Overpass" w:cs="Calibri"/>
            <w:lang w:eastAsia="it-IT"/>
          </w:rPr>
          <w:t>https://edge.media-server.com/mmc/p/gwuvrehk</w:t>
        </w:r>
      </w:hyperlink>
      <w:r w:rsidRPr="00BE3951">
        <w:rPr>
          <w:rFonts w:ascii="Overpass" w:eastAsia="Times New Roman" w:hAnsi="Overpass" w:cs="Calibri"/>
          <w:color w:val="212121"/>
          <w:lang w:eastAsia="it-IT"/>
        </w:rPr>
        <w:t>.</w:t>
      </w:r>
      <w:r>
        <w:rPr>
          <w:rFonts w:ascii="Overpass" w:eastAsia="Times New Roman" w:hAnsi="Overpass" w:cs="Calibri"/>
          <w:color w:val="212121"/>
          <w:lang w:eastAsia="it-IT"/>
        </w:rPr>
        <w:t xml:space="preserve"> </w:t>
      </w:r>
    </w:p>
    <w:p w14:paraId="758B9FD6" w14:textId="77777777" w:rsidR="00BE3951" w:rsidRPr="00BE3951" w:rsidRDefault="00BE3951" w:rsidP="00FB12A0">
      <w:pPr>
        <w:shd w:val="clear" w:color="auto" w:fill="FFFFFF" w:themeFill="background1"/>
        <w:spacing w:after="0" w:line="240" w:lineRule="auto"/>
        <w:rPr>
          <w:rFonts w:ascii="Overpass" w:eastAsia="Times New Roman" w:hAnsi="Overpass" w:cs="Calibri"/>
          <w:color w:val="212121"/>
          <w:lang w:eastAsia="it-IT"/>
        </w:rPr>
      </w:pPr>
    </w:p>
    <w:p w14:paraId="087FB960" w14:textId="7DC9D769" w:rsidR="00BE3951" w:rsidRPr="00BE3951" w:rsidRDefault="00BE3951" w:rsidP="00FB12A0">
      <w:pPr>
        <w:shd w:val="clear" w:color="auto" w:fill="FFFFFF" w:themeFill="background1"/>
        <w:spacing w:after="0" w:line="240" w:lineRule="auto"/>
        <w:rPr>
          <w:rFonts w:ascii="Overpass" w:eastAsia="Times New Roman" w:hAnsi="Overpass" w:cs="Calibri"/>
          <w:color w:val="212121"/>
          <w:lang w:eastAsia="it-IT"/>
        </w:rPr>
      </w:pPr>
      <w:r w:rsidRPr="00BE3951">
        <w:rPr>
          <w:rFonts w:ascii="Overpass" w:eastAsia="Times New Roman" w:hAnsi="Overpass" w:cs="Calibri"/>
          <w:color w:val="212121"/>
          <w:lang w:eastAsia="it-IT"/>
        </w:rPr>
        <w:t xml:space="preserve">Following completion of the call, audio replay will be available on the Company’s investor relations website: </w:t>
      </w:r>
      <w:hyperlink r:id="rId12" w:history="1">
        <w:r w:rsidRPr="00F310AB">
          <w:rPr>
            <w:rStyle w:val="Hyperlink"/>
            <w:rFonts w:ascii="Overpass" w:eastAsia="Times New Roman" w:hAnsi="Overpass" w:cs="Calibri"/>
            <w:lang w:eastAsia="it-IT"/>
          </w:rPr>
          <w:t>https://ir.group-lotus.com/</w:t>
        </w:r>
      </w:hyperlink>
      <w:r w:rsidRPr="00BE3951">
        <w:rPr>
          <w:rFonts w:ascii="Overpass" w:eastAsia="Times New Roman" w:hAnsi="Overpass" w:cs="Calibri"/>
          <w:color w:val="212121"/>
          <w:lang w:eastAsia="it-IT"/>
        </w:rPr>
        <w:t>.</w:t>
      </w:r>
      <w:r>
        <w:rPr>
          <w:rFonts w:ascii="Overpass" w:eastAsia="Times New Roman" w:hAnsi="Overpass" w:cs="Calibri"/>
          <w:color w:val="212121"/>
          <w:lang w:eastAsia="it-IT"/>
        </w:rPr>
        <w:t xml:space="preserve"> </w:t>
      </w:r>
    </w:p>
    <w:p w14:paraId="26F74941" w14:textId="77777777" w:rsidR="00BE3951" w:rsidRPr="00BE3951" w:rsidRDefault="00BE3951" w:rsidP="00FB12A0">
      <w:pPr>
        <w:shd w:val="clear" w:color="auto" w:fill="FFFFFF" w:themeFill="background1"/>
        <w:spacing w:after="0" w:line="240" w:lineRule="auto"/>
        <w:rPr>
          <w:rFonts w:ascii="Overpass" w:eastAsia="Times New Roman" w:hAnsi="Overpass" w:cs="Calibri"/>
          <w:color w:val="212121"/>
          <w:lang w:eastAsia="it-IT"/>
        </w:rPr>
      </w:pPr>
    </w:p>
    <w:p w14:paraId="77C210FC" w14:textId="33D8281F" w:rsidR="00BE3951" w:rsidRPr="00BE3951" w:rsidRDefault="00BE3951" w:rsidP="00FB12A0">
      <w:pPr>
        <w:shd w:val="clear" w:color="auto" w:fill="FFFFFF" w:themeFill="background1"/>
        <w:spacing w:after="0" w:line="240" w:lineRule="auto"/>
        <w:rPr>
          <w:rFonts w:ascii="Overpass" w:eastAsia="Times New Roman" w:hAnsi="Overpass" w:cs="Calibri"/>
          <w:color w:val="212121"/>
          <w:lang w:eastAsia="it-IT"/>
        </w:rPr>
      </w:pPr>
      <w:r w:rsidRPr="00BE3951">
        <w:rPr>
          <w:rFonts w:ascii="Overpass" w:eastAsia="Times New Roman" w:hAnsi="Overpass" w:cs="Calibri"/>
          <w:color w:val="212121"/>
          <w:lang w:eastAsia="it-IT"/>
        </w:rPr>
        <w:t xml:space="preserve">For participants who wish to join the call by phone, please register at </w:t>
      </w:r>
      <w:hyperlink r:id="rId13" w:history="1">
        <w:r w:rsidRPr="00F310AB">
          <w:rPr>
            <w:rStyle w:val="Hyperlink"/>
            <w:rFonts w:ascii="Overpass" w:eastAsia="Times New Roman" w:hAnsi="Overpass" w:cs="Calibri"/>
            <w:lang w:eastAsia="it-IT"/>
          </w:rPr>
          <w:t>https://register.vevent.com/register/BI205823e15f3a49cdb5ade4789837bb8c</w:t>
        </w:r>
      </w:hyperlink>
      <w:r w:rsidRPr="00BE3951">
        <w:rPr>
          <w:rFonts w:ascii="Overpass" w:eastAsia="Times New Roman" w:hAnsi="Overpass" w:cs="Calibri"/>
          <w:color w:val="212121"/>
          <w:lang w:eastAsia="it-IT"/>
        </w:rPr>
        <w:t>.</w:t>
      </w:r>
      <w:r>
        <w:rPr>
          <w:rFonts w:ascii="Overpass" w:eastAsia="Times New Roman" w:hAnsi="Overpass" w:cs="Calibri"/>
          <w:color w:val="212121"/>
          <w:lang w:eastAsia="it-IT"/>
        </w:rPr>
        <w:t xml:space="preserve"> </w:t>
      </w:r>
    </w:p>
    <w:p w14:paraId="30CAA0BF" w14:textId="77777777" w:rsidR="00127C38" w:rsidRDefault="00127C38" w:rsidP="00CC68BD">
      <w:pPr>
        <w:shd w:val="clear" w:color="auto" w:fill="FFFFFF"/>
        <w:spacing w:after="0" w:line="240" w:lineRule="auto"/>
        <w:jc w:val="both"/>
        <w:rPr>
          <w:rFonts w:ascii="Overpass" w:eastAsia="Times New Roman" w:hAnsi="Overpass" w:cs="Calibri"/>
          <w:color w:val="212121"/>
          <w:lang w:eastAsia="it-IT"/>
        </w:rPr>
      </w:pPr>
    </w:p>
    <w:p w14:paraId="314BB370" w14:textId="61623847" w:rsidR="0043387B" w:rsidRDefault="00DB4622" w:rsidP="00CC68BD">
      <w:pPr>
        <w:shd w:val="clear" w:color="auto" w:fill="FFFFFF"/>
        <w:spacing w:after="0" w:line="240" w:lineRule="auto"/>
        <w:jc w:val="both"/>
        <w:rPr>
          <w:rFonts w:ascii="Overpass" w:eastAsia="Times New Roman" w:hAnsi="Overpass" w:cs="Calibri"/>
          <w:b/>
          <w:bCs/>
          <w:color w:val="212121"/>
          <w:lang w:eastAsia="it-IT"/>
        </w:rPr>
      </w:pPr>
      <w:r w:rsidRPr="00DB4622">
        <w:rPr>
          <w:rFonts w:ascii="Overpass" w:eastAsia="Times New Roman" w:hAnsi="Overpass" w:cs="Calibri"/>
          <w:b/>
          <w:bCs/>
          <w:color w:val="212121"/>
          <w:lang w:eastAsia="it-IT"/>
        </w:rPr>
        <w:lastRenderedPageBreak/>
        <w:t>ENDS</w:t>
      </w:r>
    </w:p>
    <w:p w14:paraId="6204CC5D" w14:textId="77777777" w:rsidR="00BE3951" w:rsidRDefault="00BE3951" w:rsidP="00CC68BD">
      <w:pPr>
        <w:shd w:val="clear" w:color="auto" w:fill="FFFFFF"/>
        <w:spacing w:after="0" w:line="240" w:lineRule="auto"/>
        <w:jc w:val="both"/>
        <w:rPr>
          <w:rFonts w:ascii="Overpass" w:eastAsia="Times New Roman" w:hAnsi="Overpass" w:cs="Calibri"/>
          <w:b/>
          <w:bCs/>
          <w:color w:val="212121"/>
          <w:lang w:eastAsia="it-IT"/>
        </w:rPr>
      </w:pPr>
    </w:p>
    <w:p w14:paraId="14AAC014" w14:textId="4F47871E" w:rsidR="00BE3951" w:rsidRDefault="00BE3951" w:rsidP="00CC68BD">
      <w:pPr>
        <w:shd w:val="clear" w:color="auto" w:fill="FFFFFF"/>
        <w:spacing w:after="0" w:line="240" w:lineRule="auto"/>
        <w:jc w:val="both"/>
        <w:rPr>
          <w:rFonts w:ascii="Overpass" w:eastAsia="Times New Roman" w:hAnsi="Overpass" w:cs="Calibri"/>
          <w:b/>
          <w:bCs/>
          <w:color w:val="212121"/>
          <w:lang w:eastAsia="it-IT"/>
        </w:rPr>
      </w:pPr>
      <w:r>
        <w:rPr>
          <w:rFonts w:ascii="Overpass" w:eastAsia="Times New Roman" w:hAnsi="Overpass" w:cs="Calibri"/>
          <w:b/>
          <w:bCs/>
          <w:color w:val="212121"/>
          <w:lang w:eastAsia="it-IT"/>
        </w:rPr>
        <w:t>Note to Editors</w:t>
      </w:r>
    </w:p>
    <w:p w14:paraId="48B0AE79" w14:textId="75AC5C31" w:rsidR="00BE3951" w:rsidRPr="00BE3951" w:rsidRDefault="00BE3951" w:rsidP="00CC68BD">
      <w:pPr>
        <w:shd w:val="clear" w:color="auto" w:fill="FFFFFF"/>
        <w:spacing w:after="0" w:line="240" w:lineRule="auto"/>
        <w:jc w:val="both"/>
        <w:rPr>
          <w:rFonts w:ascii="Overpass" w:eastAsia="Times New Roman" w:hAnsi="Overpass" w:cs="Calibri"/>
          <w:color w:val="212121"/>
          <w:lang w:eastAsia="it-IT"/>
        </w:rPr>
      </w:pPr>
      <w:r w:rsidRPr="00BE3951">
        <w:rPr>
          <w:rFonts w:ascii="Overpass" w:eastAsia="Times New Roman" w:hAnsi="Overpass" w:cs="Calibri"/>
          <w:color w:val="212121"/>
          <w:vertAlign w:val="superscript"/>
          <w:lang w:eastAsia="it-IT"/>
        </w:rPr>
        <w:t>1</w:t>
      </w:r>
      <w:r w:rsidRPr="00BE3951">
        <w:rPr>
          <w:rFonts w:ascii="Overpass" w:eastAsia="Times New Roman" w:hAnsi="Overpass" w:cs="Calibri"/>
          <w:color w:val="212121"/>
          <w:lang w:eastAsia="it-IT"/>
        </w:rPr>
        <w:t> Invoiced deliveries, including commissioned deliveries.</w:t>
      </w:r>
    </w:p>
    <w:p w14:paraId="170D615E" w14:textId="5F43C161" w:rsidR="00E409EF" w:rsidRDefault="00E409EF" w:rsidP="001719B6">
      <w:pPr>
        <w:shd w:val="clear" w:color="auto" w:fill="FFFFFF"/>
        <w:spacing w:after="0" w:line="240" w:lineRule="auto"/>
        <w:jc w:val="both"/>
        <w:rPr>
          <w:rFonts w:ascii="Overpass" w:eastAsia="Times New Roman" w:hAnsi="Overpass" w:cs="Calibri"/>
          <w:b/>
          <w:bCs/>
          <w:color w:val="212121"/>
          <w:lang w:eastAsia="it-IT"/>
        </w:rPr>
      </w:pPr>
    </w:p>
    <w:p w14:paraId="147CFF74" w14:textId="77777777" w:rsidR="001719B6" w:rsidRPr="001719B6" w:rsidRDefault="001719B6" w:rsidP="001719B6">
      <w:pPr>
        <w:shd w:val="clear" w:color="auto" w:fill="FFFFFF"/>
        <w:spacing w:after="0" w:line="240" w:lineRule="auto"/>
        <w:jc w:val="both"/>
        <w:rPr>
          <w:rFonts w:ascii="Overpass" w:eastAsia="Times New Roman" w:hAnsi="Overpass" w:cs="Calibri"/>
          <w:b/>
          <w:bCs/>
          <w:color w:val="212121"/>
          <w:lang w:eastAsia="it-IT"/>
        </w:rPr>
      </w:pPr>
      <w:r w:rsidRPr="001719B6">
        <w:rPr>
          <w:rFonts w:ascii="Overpass" w:eastAsia="Times New Roman" w:hAnsi="Overpass" w:cs="Calibri"/>
          <w:b/>
          <w:bCs/>
          <w:color w:val="212121"/>
          <w:lang w:eastAsia="it-IT"/>
        </w:rPr>
        <w:t>About Lotus Technology</w:t>
      </w:r>
    </w:p>
    <w:p w14:paraId="12BC7D1B" w14:textId="4269C116" w:rsidR="001719B6" w:rsidRDefault="001719B6" w:rsidP="001719B6">
      <w:pPr>
        <w:shd w:val="clear" w:color="auto" w:fill="FFFFFF"/>
        <w:spacing w:after="0" w:line="240" w:lineRule="auto"/>
        <w:jc w:val="both"/>
        <w:rPr>
          <w:rFonts w:ascii="Overpass" w:eastAsia="Times New Roman" w:hAnsi="Overpass" w:cs="Calibri"/>
          <w:color w:val="212121"/>
          <w:lang w:eastAsia="it-IT"/>
        </w:rPr>
      </w:pPr>
      <w:r w:rsidRPr="001719B6">
        <w:rPr>
          <w:rFonts w:ascii="Overpass" w:eastAsia="Times New Roman" w:hAnsi="Overpass" w:cs="Calibri"/>
          <w:color w:val="212121"/>
          <w:lang w:eastAsia="it-IT"/>
        </w:rPr>
        <w:t xml:space="preserve">Lotus Technology Inc. has operations across the UK, the EU and China. The Company is dedicated to delivering luxury lifestyle battery electric vehicles, with a focus on world-class R&amp;D in </w:t>
      </w:r>
      <w:r w:rsidR="004868D9" w:rsidRPr="001719B6">
        <w:rPr>
          <w:rFonts w:ascii="Overpass" w:eastAsia="Times New Roman" w:hAnsi="Overpass" w:cs="Calibri"/>
          <w:color w:val="212121"/>
          <w:lang w:eastAsia="it-IT"/>
        </w:rPr>
        <w:t>next generation</w:t>
      </w:r>
      <w:r w:rsidRPr="001719B6">
        <w:rPr>
          <w:rFonts w:ascii="Overpass" w:eastAsia="Times New Roman" w:hAnsi="Overpass" w:cs="Calibri"/>
          <w:color w:val="212121"/>
          <w:lang w:eastAsia="it-IT"/>
        </w:rPr>
        <w:t xml:space="preserve"> automobility technologies such as electrification, digitalisation and more. For more information about Lotus Technology Inc., please visit </w:t>
      </w:r>
      <w:hyperlink r:id="rId14" w:history="1">
        <w:r w:rsidRPr="00F310AB">
          <w:rPr>
            <w:rStyle w:val="Hyperlink"/>
            <w:rFonts w:ascii="Overpass" w:eastAsia="Times New Roman" w:hAnsi="Overpass" w:cs="Calibri"/>
            <w:lang w:eastAsia="it-IT"/>
          </w:rPr>
          <w:t>www.group-lotus.com</w:t>
        </w:r>
      </w:hyperlink>
      <w:r w:rsidRPr="001719B6">
        <w:rPr>
          <w:rFonts w:ascii="Overpass" w:eastAsia="Times New Roman" w:hAnsi="Overpass" w:cs="Calibri"/>
          <w:color w:val="212121"/>
          <w:lang w:eastAsia="it-IT"/>
        </w:rPr>
        <w:t>.</w:t>
      </w:r>
    </w:p>
    <w:p w14:paraId="60C95972" w14:textId="77777777" w:rsidR="00BE3951" w:rsidRDefault="00BE3951" w:rsidP="001719B6">
      <w:pPr>
        <w:shd w:val="clear" w:color="auto" w:fill="FFFFFF"/>
        <w:spacing w:after="0" w:line="240" w:lineRule="auto"/>
        <w:jc w:val="both"/>
        <w:rPr>
          <w:rFonts w:ascii="Overpass" w:eastAsia="Times New Roman" w:hAnsi="Overpass" w:cs="Calibri"/>
          <w:color w:val="212121"/>
          <w:lang w:eastAsia="it-IT"/>
        </w:rPr>
      </w:pPr>
    </w:p>
    <w:p w14:paraId="10C5A40E" w14:textId="77777777" w:rsidR="00BE3951" w:rsidRPr="00BE3951" w:rsidRDefault="00BE3951" w:rsidP="00BE3951">
      <w:pPr>
        <w:shd w:val="clear" w:color="auto" w:fill="FFFFFF"/>
        <w:spacing w:after="0" w:line="240" w:lineRule="auto"/>
        <w:jc w:val="both"/>
        <w:rPr>
          <w:rFonts w:ascii="Overpass" w:eastAsia="Times New Roman" w:hAnsi="Overpass" w:cs="Calibri"/>
          <w:b/>
          <w:bCs/>
          <w:color w:val="212121"/>
          <w:lang w:eastAsia="it-IT"/>
        </w:rPr>
      </w:pPr>
      <w:r w:rsidRPr="00BE3951">
        <w:rPr>
          <w:rFonts w:ascii="Overpass" w:eastAsia="Times New Roman" w:hAnsi="Overpass" w:cs="Calibri"/>
          <w:b/>
          <w:bCs/>
          <w:color w:val="212121"/>
          <w:lang w:eastAsia="it-IT"/>
        </w:rPr>
        <w:t>Non-GAAP Financial Measures</w:t>
      </w:r>
    </w:p>
    <w:p w14:paraId="093365F6" w14:textId="77777777" w:rsidR="00BE3951" w:rsidRPr="00BE3951" w:rsidRDefault="00BE3951" w:rsidP="00BE3951">
      <w:pPr>
        <w:shd w:val="clear" w:color="auto" w:fill="FFFFFF"/>
        <w:spacing w:after="0" w:line="240" w:lineRule="auto"/>
        <w:jc w:val="both"/>
        <w:rPr>
          <w:rFonts w:ascii="Overpass" w:eastAsia="Times New Roman" w:hAnsi="Overpass" w:cs="Calibri"/>
          <w:color w:val="212121"/>
          <w:lang w:eastAsia="it-IT"/>
        </w:rPr>
      </w:pPr>
      <w:r w:rsidRPr="00BE3951">
        <w:rPr>
          <w:rFonts w:ascii="Overpass" w:eastAsia="Times New Roman" w:hAnsi="Overpass" w:cs="Calibri"/>
          <w:color w:val="212121"/>
          <w:lang w:eastAsia="it-IT"/>
        </w:rPr>
        <w:t xml:space="preserve">The Company uses non-GAAP financial measures, including adjusted net loss and adjusted EBITDA in evaluating its operating results and for financial and operational decision-making purposes. Adjusted net loss represents net loss excluding share-based compensation expenses, and such adjustment has no impact on income tax. Lotus Tech defines adjusted EBITDA as net loss excluding interest income, interest expense, income tax expenses, depreciation of property, equipment and software, and share-based compensation expenses. The Company believes that the non-GAAP financial measures help identify underlying trends in its business and enhance the overall understanding of the Company’s past performance and </w:t>
      </w:r>
      <w:proofErr w:type="gramStart"/>
      <w:r w:rsidRPr="00BE3951">
        <w:rPr>
          <w:rFonts w:ascii="Overpass" w:eastAsia="Times New Roman" w:hAnsi="Overpass" w:cs="Calibri"/>
          <w:color w:val="212121"/>
          <w:lang w:eastAsia="it-IT"/>
        </w:rPr>
        <w:t>future prospects</w:t>
      </w:r>
      <w:proofErr w:type="gramEnd"/>
      <w:r w:rsidRPr="00BE3951">
        <w:rPr>
          <w:rFonts w:ascii="Overpass" w:eastAsia="Times New Roman" w:hAnsi="Overpass" w:cs="Calibri"/>
          <w:color w:val="212121"/>
          <w:lang w:eastAsia="it-IT"/>
        </w:rPr>
        <w:t>. The Company also believes that the non-GAAP financial measures allow for greater visibility with respect to key metrics used by the Company’s management in its financial and operational decision-making.</w:t>
      </w:r>
    </w:p>
    <w:p w14:paraId="13DB3CAD" w14:textId="77777777" w:rsidR="00BE3951" w:rsidRPr="00BE3951" w:rsidRDefault="00BE3951" w:rsidP="00BE3951">
      <w:pPr>
        <w:shd w:val="clear" w:color="auto" w:fill="FFFFFF"/>
        <w:spacing w:after="0" w:line="240" w:lineRule="auto"/>
        <w:jc w:val="both"/>
        <w:rPr>
          <w:rFonts w:ascii="Overpass" w:eastAsia="Times New Roman" w:hAnsi="Overpass" w:cs="Calibri"/>
          <w:color w:val="212121"/>
          <w:lang w:eastAsia="it-IT"/>
        </w:rPr>
      </w:pPr>
    </w:p>
    <w:p w14:paraId="5CB37610" w14:textId="77777777" w:rsidR="00BE3951" w:rsidRDefault="00BE3951" w:rsidP="00BE3951">
      <w:pPr>
        <w:shd w:val="clear" w:color="auto" w:fill="FFFFFF"/>
        <w:spacing w:after="0" w:line="240" w:lineRule="auto"/>
        <w:jc w:val="both"/>
        <w:rPr>
          <w:rFonts w:ascii="Overpass" w:eastAsia="Times New Roman" w:hAnsi="Overpass" w:cs="Calibri"/>
          <w:color w:val="212121"/>
          <w:lang w:eastAsia="it-IT"/>
        </w:rPr>
      </w:pPr>
      <w:r w:rsidRPr="00BE3951">
        <w:rPr>
          <w:rFonts w:ascii="Overpass" w:eastAsia="Times New Roman" w:hAnsi="Overpass" w:cs="Calibri"/>
          <w:color w:val="212121"/>
          <w:lang w:eastAsia="it-IT"/>
        </w:rPr>
        <w:t>The non-GAAP financial measures are not presented in accordance with U.S. GAAP and may be different from non-GAAP methods of accounting and reporting used by other companies. The non-GAAP financial measures have limitations as analytical tools and when assessing the Company’s operating performance, investors should not consider them in isolation, or as a substitute for financial information prepared in accordance with U.S. GAAP. The Company encourages investors and others to review its financial information in its entirety and not rely on a single financial measure. The Company mitigates these limitations by reconciling the non-GAAP financial measures to the most comparable U.S. GAAP performance measures, all of which should be considered when evaluating the Company’s performance. For more information on the non-GAAP financial measures, please see "Appendix C – Unaudited Reconciliation of GAAP and Non-GAAP Results (Adjusted net loss/Adjusted EBITDA)" set forth at the end of this press release.</w:t>
      </w:r>
    </w:p>
    <w:p w14:paraId="75FE0E90" w14:textId="77777777" w:rsidR="00BE3951" w:rsidRDefault="00BE3951" w:rsidP="00BE3951">
      <w:pPr>
        <w:shd w:val="clear" w:color="auto" w:fill="FFFFFF"/>
        <w:spacing w:after="0" w:line="240" w:lineRule="auto"/>
        <w:jc w:val="both"/>
        <w:rPr>
          <w:rFonts w:ascii="Overpass" w:eastAsia="Times New Roman" w:hAnsi="Overpass" w:cs="Calibri"/>
          <w:color w:val="212121"/>
          <w:lang w:eastAsia="it-IT"/>
        </w:rPr>
      </w:pPr>
    </w:p>
    <w:p w14:paraId="35F2EA0B" w14:textId="77777777" w:rsidR="00BE3951" w:rsidRPr="00BE3951" w:rsidRDefault="00BE3951" w:rsidP="00BE3951">
      <w:pPr>
        <w:shd w:val="clear" w:color="auto" w:fill="FFFFFF"/>
        <w:spacing w:after="0" w:line="240" w:lineRule="auto"/>
        <w:jc w:val="both"/>
        <w:rPr>
          <w:rFonts w:ascii="Overpass" w:eastAsia="Times New Roman" w:hAnsi="Overpass" w:cs="Calibri"/>
          <w:b/>
          <w:bCs/>
          <w:color w:val="212121"/>
          <w:lang w:eastAsia="it-IT"/>
        </w:rPr>
      </w:pPr>
      <w:r w:rsidRPr="00BE3951">
        <w:rPr>
          <w:rFonts w:ascii="Overpass" w:eastAsia="Times New Roman" w:hAnsi="Overpass" w:cs="Calibri"/>
          <w:b/>
          <w:bCs/>
          <w:color w:val="212121"/>
          <w:lang w:eastAsia="it-IT"/>
        </w:rPr>
        <w:t>Forward-Looking Statements</w:t>
      </w:r>
    </w:p>
    <w:p w14:paraId="3E048C4F" w14:textId="43098774" w:rsidR="00BE3951" w:rsidRDefault="00BE3951" w:rsidP="00BE3951">
      <w:pPr>
        <w:shd w:val="clear" w:color="auto" w:fill="FFFFFF"/>
        <w:spacing w:after="0" w:line="240" w:lineRule="auto"/>
        <w:jc w:val="both"/>
        <w:rPr>
          <w:rFonts w:ascii="Overpass" w:eastAsia="Times New Roman" w:hAnsi="Overpass" w:cs="Calibri"/>
          <w:color w:val="212121"/>
          <w:lang w:eastAsia="it-IT"/>
        </w:rPr>
      </w:pPr>
      <w:r w:rsidRPr="00BE3951">
        <w:rPr>
          <w:rFonts w:ascii="Overpass" w:eastAsia="Times New Roman" w:hAnsi="Overpass" w:cs="Calibri"/>
          <w:color w:val="212121"/>
          <w:lang w:eastAsia="it-IT"/>
        </w:rPr>
        <w:t>This press release contains statements that may constitute "forward-looking" statements pursuant to the "safe harbor" provisions of the U.S. Private Securities Litigation Reform Act of 1995. All statements other than statements of historical fact are forward-looking statements. In some cases, you can identify forward-looking statements by terminology such as "may", "should", "expect", "intend", "will", "estimate", "anticipate", "believe", "predict", "potential", "forecast", "plan", "seek", "future", "propose" or "continue", or the negatives of these terms or variations of them or similar terminology although not all forward-looking statements contain such terminology. Forward-looking statements involve inherent risks and uncertainties, including those identified in the Company’s filings with the U.S. Securities and Exchange Commission. All information provided in this press release is as of the date of this press release, and Lotus Tech undertakes no obligation to update any forward-looking statement, except as required under applicable law.</w:t>
      </w:r>
    </w:p>
    <w:p w14:paraId="3A93DC38" w14:textId="77777777" w:rsidR="00BE3951" w:rsidRDefault="00BE3951" w:rsidP="00BE3951">
      <w:pPr>
        <w:shd w:val="clear" w:color="auto" w:fill="FFFFFF"/>
        <w:spacing w:after="0" w:line="240" w:lineRule="auto"/>
        <w:jc w:val="both"/>
        <w:rPr>
          <w:rFonts w:ascii="Overpass" w:eastAsia="Times New Roman" w:hAnsi="Overpass" w:cs="Calibri"/>
          <w:color w:val="212121"/>
          <w:lang w:eastAsia="it-IT"/>
        </w:rPr>
      </w:pPr>
    </w:p>
    <w:p w14:paraId="473DFB76" w14:textId="77777777" w:rsidR="00BE3951" w:rsidRPr="00BE3951" w:rsidRDefault="00BE3951" w:rsidP="00BE3951">
      <w:pPr>
        <w:shd w:val="clear" w:color="auto" w:fill="FFFFFF"/>
        <w:spacing w:after="0" w:line="240" w:lineRule="auto"/>
        <w:jc w:val="both"/>
        <w:rPr>
          <w:rFonts w:ascii="Overpass" w:eastAsia="Times New Roman" w:hAnsi="Overpass" w:cs="Calibri"/>
          <w:color w:val="212121"/>
          <w:lang w:eastAsia="it-IT"/>
        </w:rPr>
      </w:pPr>
      <w:r w:rsidRPr="00BE3951">
        <w:rPr>
          <w:rFonts w:ascii="Overpass" w:eastAsia="Times New Roman" w:hAnsi="Overpass" w:cs="Calibri"/>
          <w:b/>
          <w:bCs/>
          <w:color w:val="212121"/>
          <w:lang w:eastAsia="it-IT"/>
        </w:rPr>
        <w:t>Appendix A</w:t>
      </w:r>
    </w:p>
    <w:p w14:paraId="2FE4C545" w14:textId="77777777" w:rsidR="00BE3951" w:rsidRPr="00BE3951" w:rsidRDefault="00BE3951" w:rsidP="00BE3951">
      <w:pPr>
        <w:shd w:val="clear" w:color="auto" w:fill="FFFFFF"/>
        <w:spacing w:after="0" w:line="240" w:lineRule="auto"/>
        <w:rPr>
          <w:rFonts w:ascii="Overpass" w:eastAsia="Times New Roman" w:hAnsi="Overpass" w:cs="Calibri"/>
          <w:color w:val="212121"/>
          <w:lang w:eastAsia="it-IT"/>
        </w:rPr>
      </w:pPr>
      <w:r w:rsidRPr="00BE3951">
        <w:rPr>
          <w:rFonts w:ascii="Overpass" w:eastAsia="Times New Roman" w:hAnsi="Overpass" w:cs="Calibri"/>
          <w:b/>
          <w:bCs/>
          <w:color w:val="212121"/>
          <w:lang w:eastAsia="it-IT"/>
        </w:rPr>
        <w:t>Lotus Technology Inc.</w:t>
      </w:r>
      <w:r w:rsidRPr="00BE3951">
        <w:rPr>
          <w:rFonts w:ascii="Overpass" w:eastAsia="Times New Roman" w:hAnsi="Overpass" w:cs="Calibri"/>
          <w:color w:val="212121"/>
          <w:lang w:eastAsia="it-IT"/>
        </w:rPr>
        <w:br/>
      </w:r>
      <w:r w:rsidRPr="00BE3951">
        <w:rPr>
          <w:rFonts w:ascii="Overpass" w:eastAsia="Times New Roman" w:hAnsi="Overpass" w:cs="Calibri"/>
          <w:b/>
          <w:bCs/>
          <w:color w:val="212121"/>
          <w:lang w:eastAsia="it-IT"/>
        </w:rPr>
        <w:t>Unaudited Consolidated Balance Sheets</w:t>
      </w:r>
    </w:p>
    <w:p w14:paraId="7670B504" w14:textId="77777777" w:rsidR="00BE3951" w:rsidRDefault="00BE3951" w:rsidP="00BE3951">
      <w:pPr>
        <w:shd w:val="clear" w:color="auto" w:fill="FFFFFF"/>
        <w:spacing w:after="0" w:line="240" w:lineRule="auto"/>
        <w:rPr>
          <w:rFonts w:ascii="Overpass" w:eastAsia="Times New Roman" w:hAnsi="Overpass" w:cs="Calibri"/>
          <w:color w:val="212121"/>
          <w:lang w:eastAsia="it-IT"/>
        </w:rPr>
      </w:pPr>
      <w:r w:rsidRPr="00BE3951">
        <w:rPr>
          <w:rFonts w:ascii="Overpass" w:eastAsia="Times New Roman" w:hAnsi="Overpass" w:cs="Calibri"/>
          <w:color w:val="212121"/>
          <w:lang w:eastAsia="it-IT"/>
        </w:rPr>
        <w:lastRenderedPageBreak/>
        <w:t>(All amounts in thousands)</w:t>
      </w:r>
    </w:p>
    <w:p w14:paraId="08082275" w14:textId="77777777" w:rsidR="00BE3951" w:rsidRPr="00BE3951" w:rsidRDefault="00BE3951" w:rsidP="00BE3951">
      <w:pPr>
        <w:shd w:val="clear" w:color="auto" w:fill="FFFFFF"/>
        <w:spacing w:after="0" w:line="240" w:lineRule="auto"/>
        <w:jc w:val="both"/>
        <w:rPr>
          <w:rFonts w:ascii="Overpass" w:eastAsia="Times New Roman" w:hAnsi="Overpass" w:cs="Calibri"/>
          <w:color w:val="212121"/>
          <w:lang w:eastAsia="it-IT"/>
        </w:rPr>
      </w:pPr>
    </w:p>
    <w:tbl>
      <w:tblPr>
        <w:tblW w:w="9356" w:type="dxa"/>
        <w:tblCellMar>
          <w:top w:w="15" w:type="dxa"/>
          <w:left w:w="15" w:type="dxa"/>
          <w:bottom w:w="15" w:type="dxa"/>
          <w:right w:w="15" w:type="dxa"/>
        </w:tblCellMar>
        <w:tblLook w:val="04A0" w:firstRow="1" w:lastRow="0" w:firstColumn="1" w:lastColumn="0" w:noHBand="0" w:noVBand="1"/>
      </w:tblPr>
      <w:tblGrid>
        <w:gridCol w:w="4395"/>
        <w:gridCol w:w="1860"/>
        <w:gridCol w:w="1377"/>
        <w:gridCol w:w="1724"/>
      </w:tblGrid>
      <w:tr w:rsidR="00BE3951" w:rsidRPr="00BE3951" w14:paraId="38D06242" w14:textId="77777777" w:rsidTr="00BE3951">
        <w:tc>
          <w:tcPr>
            <w:tcW w:w="4395" w:type="dxa"/>
            <w:vAlign w:val="center"/>
            <w:hideMark/>
          </w:tcPr>
          <w:p w14:paraId="5CDD4932" w14:textId="77777777" w:rsidR="00BE3951" w:rsidRPr="00BE3951" w:rsidRDefault="00BE3951" w:rsidP="00BE3951">
            <w:pPr>
              <w:shd w:val="clear" w:color="auto" w:fill="FFFFFF"/>
              <w:spacing w:after="0" w:line="240" w:lineRule="auto"/>
              <w:jc w:val="both"/>
              <w:rPr>
                <w:rFonts w:ascii="Overpass" w:eastAsia="Times New Roman" w:hAnsi="Overpass" w:cs="Calibri"/>
                <w:color w:val="212121"/>
                <w:lang w:eastAsia="it-IT"/>
              </w:rPr>
            </w:pPr>
            <w:r w:rsidRPr="00BE3951">
              <w:rPr>
                <w:rFonts w:ascii="Overpass" w:eastAsia="Times New Roman" w:hAnsi="Overpass" w:cs="Calibri"/>
                <w:color w:val="212121"/>
                <w:lang w:eastAsia="it-IT"/>
              </w:rPr>
              <w:t> </w:t>
            </w:r>
          </w:p>
        </w:tc>
        <w:tc>
          <w:tcPr>
            <w:tcW w:w="4961" w:type="dxa"/>
            <w:gridSpan w:val="3"/>
            <w:vAlign w:val="center"/>
            <w:hideMark/>
          </w:tcPr>
          <w:p w14:paraId="304DEED6" w14:textId="77777777" w:rsidR="00BE3951" w:rsidRPr="00BE3951" w:rsidRDefault="00BE3951" w:rsidP="006E0488">
            <w:pPr>
              <w:shd w:val="clear" w:color="auto" w:fill="FFFFFF"/>
              <w:spacing w:after="0" w:line="240" w:lineRule="auto"/>
              <w:jc w:val="center"/>
              <w:rPr>
                <w:rFonts w:ascii="Overpass" w:eastAsia="Times New Roman" w:hAnsi="Overpass" w:cs="Calibri"/>
                <w:color w:val="212121"/>
                <w:lang w:eastAsia="it-IT"/>
              </w:rPr>
            </w:pPr>
            <w:r w:rsidRPr="00BE3951">
              <w:rPr>
                <w:rFonts w:ascii="Overpass" w:eastAsia="Times New Roman" w:hAnsi="Overpass" w:cs="Calibri"/>
                <w:b/>
                <w:bCs/>
                <w:color w:val="212121"/>
                <w:lang w:eastAsia="it-IT"/>
              </w:rPr>
              <w:t>As of</w:t>
            </w:r>
          </w:p>
        </w:tc>
      </w:tr>
      <w:tr w:rsidR="00BE3951" w:rsidRPr="00BE3951" w14:paraId="31CE121B" w14:textId="77777777" w:rsidTr="00BE3951">
        <w:tc>
          <w:tcPr>
            <w:tcW w:w="4395" w:type="dxa"/>
            <w:vAlign w:val="center"/>
            <w:hideMark/>
          </w:tcPr>
          <w:p w14:paraId="2D5641A3" w14:textId="77777777" w:rsidR="00BE3951" w:rsidRPr="00BE3951" w:rsidRDefault="00BE3951" w:rsidP="00BE3951">
            <w:pPr>
              <w:shd w:val="clear" w:color="auto" w:fill="FFFFFF"/>
              <w:spacing w:after="0" w:line="240" w:lineRule="auto"/>
              <w:jc w:val="both"/>
              <w:rPr>
                <w:rFonts w:ascii="Overpass" w:eastAsia="Times New Roman" w:hAnsi="Overpass" w:cs="Calibri"/>
                <w:color w:val="212121"/>
                <w:lang w:eastAsia="it-IT"/>
              </w:rPr>
            </w:pPr>
            <w:r w:rsidRPr="00BE3951">
              <w:rPr>
                <w:rFonts w:ascii="Overpass" w:eastAsia="Times New Roman" w:hAnsi="Overpass" w:cs="Calibri"/>
                <w:color w:val="212121"/>
                <w:lang w:eastAsia="it-IT"/>
              </w:rPr>
              <w:t> </w:t>
            </w:r>
          </w:p>
        </w:tc>
        <w:tc>
          <w:tcPr>
            <w:tcW w:w="1860" w:type="dxa"/>
            <w:vAlign w:val="center"/>
            <w:hideMark/>
          </w:tcPr>
          <w:p w14:paraId="6120E4E0"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b/>
                <w:bCs/>
                <w:color w:val="212121"/>
                <w:lang w:eastAsia="it-IT"/>
              </w:rPr>
              <w:t>Mar 31, 2024</w:t>
            </w:r>
          </w:p>
        </w:tc>
        <w:tc>
          <w:tcPr>
            <w:tcW w:w="1377" w:type="dxa"/>
            <w:vAlign w:val="center"/>
            <w:hideMark/>
          </w:tcPr>
          <w:p w14:paraId="45F95D56"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 </w:t>
            </w:r>
          </w:p>
        </w:tc>
        <w:tc>
          <w:tcPr>
            <w:tcW w:w="1724" w:type="dxa"/>
            <w:vAlign w:val="center"/>
            <w:hideMark/>
          </w:tcPr>
          <w:p w14:paraId="0A7E7EAB"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b/>
                <w:bCs/>
                <w:color w:val="212121"/>
                <w:lang w:eastAsia="it-IT"/>
              </w:rPr>
              <w:t>Dec 31, 2023</w:t>
            </w:r>
          </w:p>
        </w:tc>
      </w:tr>
      <w:tr w:rsidR="00BE3951" w:rsidRPr="00BE3951" w14:paraId="4B01E101" w14:textId="77777777" w:rsidTr="00BE3951">
        <w:tc>
          <w:tcPr>
            <w:tcW w:w="4395" w:type="dxa"/>
            <w:vAlign w:val="center"/>
            <w:hideMark/>
          </w:tcPr>
          <w:p w14:paraId="49996130" w14:textId="77777777" w:rsidR="00BE3951" w:rsidRPr="00BE3951" w:rsidRDefault="00BE3951" w:rsidP="00BE3951">
            <w:pPr>
              <w:shd w:val="clear" w:color="auto" w:fill="FFFFFF"/>
              <w:spacing w:after="0" w:line="240" w:lineRule="auto"/>
              <w:jc w:val="both"/>
              <w:rPr>
                <w:rFonts w:ascii="Overpass" w:eastAsia="Times New Roman" w:hAnsi="Overpass" w:cs="Calibri"/>
                <w:color w:val="212121"/>
                <w:lang w:eastAsia="it-IT"/>
              </w:rPr>
            </w:pPr>
            <w:r w:rsidRPr="00BE3951">
              <w:rPr>
                <w:rFonts w:ascii="Overpass" w:eastAsia="Times New Roman" w:hAnsi="Overpass" w:cs="Calibri"/>
                <w:color w:val="212121"/>
                <w:lang w:eastAsia="it-IT"/>
              </w:rPr>
              <w:t> </w:t>
            </w:r>
          </w:p>
        </w:tc>
        <w:tc>
          <w:tcPr>
            <w:tcW w:w="1860" w:type="dxa"/>
            <w:vAlign w:val="center"/>
            <w:hideMark/>
          </w:tcPr>
          <w:p w14:paraId="1C323DF0"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b/>
                <w:bCs/>
                <w:i/>
                <w:iCs/>
                <w:color w:val="212121"/>
                <w:lang w:eastAsia="it-IT"/>
              </w:rPr>
              <w:t>US$</w:t>
            </w:r>
          </w:p>
        </w:tc>
        <w:tc>
          <w:tcPr>
            <w:tcW w:w="1377" w:type="dxa"/>
            <w:vAlign w:val="center"/>
            <w:hideMark/>
          </w:tcPr>
          <w:p w14:paraId="4E7EEF50"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 </w:t>
            </w:r>
          </w:p>
        </w:tc>
        <w:tc>
          <w:tcPr>
            <w:tcW w:w="1724" w:type="dxa"/>
            <w:vAlign w:val="center"/>
            <w:hideMark/>
          </w:tcPr>
          <w:p w14:paraId="76AFA2B5"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b/>
                <w:bCs/>
                <w:i/>
                <w:iCs/>
                <w:color w:val="212121"/>
                <w:lang w:eastAsia="it-IT"/>
              </w:rPr>
              <w:t>US$</w:t>
            </w:r>
          </w:p>
        </w:tc>
      </w:tr>
      <w:tr w:rsidR="00BE3951" w:rsidRPr="00BE3951" w14:paraId="2E4140FA" w14:textId="77777777" w:rsidTr="00BE3951">
        <w:tc>
          <w:tcPr>
            <w:tcW w:w="4395" w:type="dxa"/>
            <w:vAlign w:val="center"/>
            <w:hideMark/>
          </w:tcPr>
          <w:p w14:paraId="2221C8BE" w14:textId="77777777" w:rsidR="00BE3951" w:rsidRPr="00BE3951" w:rsidRDefault="00BE3951" w:rsidP="00BE3951">
            <w:pPr>
              <w:shd w:val="clear" w:color="auto" w:fill="FFFFFF"/>
              <w:spacing w:after="0" w:line="240" w:lineRule="auto"/>
              <w:jc w:val="both"/>
              <w:rPr>
                <w:rFonts w:ascii="Overpass" w:eastAsia="Times New Roman" w:hAnsi="Overpass" w:cs="Calibri"/>
                <w:color w:val="212121"/>
                <w:lang w:eastAsia="it-IT"/>
              </w:rPr>
            </w:pPr>
            <w:r w:rsidRPr="00BE3951">
              <w:rPr>
                <w:rFonts w:ascii="Overpass" w:eastAsia="Times New Roman" w:hAnsi="Overpass" w:cs="Calibri"/>
                <w:b/>
                <w:bCs/>
                <w:color w:val="212121"/>
                <w:lang w:eastAsia="it-IT"/>
              </w:rPr>
              <w:t>ASSETS</w:t>
            </w:r>
          </w:p>
        </w:tc>
        <w:tc>
          <w:tcPr>
            <w:tcW w:w="1860" w:type="dxa"/>
            <w:vAlign w:val="center"/>
            <w:hideMark/>
          </w:tcPr>
          <w:p w14:paraId="051EF1A6"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 </w:t>
            </w:r>
          </w:p>
        </w:tc>
        <w:tc>
          <w:tcPr>
            <w:tcW w:w="1377" w:type="dxa"/>
            <w:vAlign w:val="center"/>
            <w:hideMark/>
          </w:tcPr>
          <w:p w14:paraId="0F2931DE"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 </w:t>
            </w:r>
          </w:p>
        </w:tc>
        <w:tc>
          <w:tcPr>
            <w:tcW w:w="1724" w:type="dxa"/>
            <w:vAlign w:val="center"/>
            <w:hideMark/>
          </w:tcPr>
          <w:p w14:paraId="3A6ACCD8"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 </w:t>
            </w:r>
          </w:p>
        </w:tc>
      </w:tr>
      <w:tr w:rsidR="00BE3951" w:rsidRPr="00BE3951" w14:paraId="0F639848" w14:textId="77777777" w:rsidTr="00BE3951">
        <w:tc>
          <w:tcPr>
            <w:tcW w:w="4395" w:type="dxa"/>
            <w:vAlign w:val="center"/>
            <w:hideMark/>
          </w:tcPr>
          <w:p w14:paraId="18668DBD" w14:textId="77777777" w:rsidR="00BE3951" w:rsidRPr="00BE3951" w:rsidRDefault="00BE3951" w:rsidP="00BE3951">
            <w:pPr>
              <w:shd w:val="clear" w:color="auto" w:fill="FFFFFF"/>
              <w:spacing w:after="0" w:line="240" w:lineRule="auto"/>
              <w:jc w:val="both"/>
              <w:rPr>
                <w:rFonts w:ascii="Overpass" w:eastAsia="Times New Roman" w:hAnsi="Overpass" w:cs="Calibri"/>
                <w:color w:val="212121"/>
                <w:lang w:eastAsia="it-IT"/>
              </w:rPr>
            </w:pPr>
            <w:r w:rsidRPr="00BE3951">
              <w:rPr>
                <w:rFonts w:ascii="Overpass" w:eastAsia="Times New Roman" w:hAnsi="Overpass" w:cs="Calibri"/>
                <w:b/>
                <w:bCs/>
                <w:color w:val="212121"/>
                <w:lang w:eastAsia="it-IT"/>
              </w:rPr>
              <w:t>Current assets</w:t>
            </w:r>
          </w:p>
        </w:tc>
        <w:tc>
          <w:tcPr>
            <w:tcW w:w="1860" w:type="dxa"/>
            <w:vAlign w:val="center"/>
            <w:hideMark/>
          </w:tcPr>
          <w:p w14:paraId="31585A1C"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 </w:t>
            </w:r>
          </w:p>
        </w:tc>
        <w:tc>
          <w:tcPr>
            <w:tcW w:w="1377" w:type="dxa"/>
            <w:vAlign w:val="center"/>
            <w:hideMark/>
          </w:tcPr>
          <w:p w14:paraId="2585C4D5"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 </w:t>
            </w:r>
          </w:p>
        </w:tc>
        <w:tc>
          <w:tcPr>
            <w:tcW w:w="1724" w:type="dxa"/>
            <w:vAlign w:val="center"/>
            <w:hideMark/>
          </w:tcPr>
          <w:p w14:paraId="17DCDEFF"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 </w:t>
            </w:r>
          </w:p>
        </w:tc>
      </w:tr>
      <w:tr w:rsidR="00BE3951" w:rsidRPr="00BE3951" w14:paraId="5EA10899" w14:textId="77777777" w:rsidTr="00BE3951">
        <w:tc>
          <w:tcPr>
            <w:tcW w:w="4395" w:type="dxa"/>
            <w:vAlign w:val="center"/>
            <w:hideMark/>
          </w:tcPr>
          <w:p w14:paraId="7AD5CC1B" w14:textId="77777777" w:rsidR="00BE3951" w:rsidRPr="00BE3951" w:rsidRDefault="00BE3951" w:rsidP="00BE3951">
            <w:pPr>
              <w:shd w:val="clear" w:color="auto" w:fill="FFFFFF"/>
              <w:spacing w:after="0" w:line="240" w:lineRule="auto"/>
              <w:jc w:val="both"/>
              <w:rPr>
                <w:rFonts w:ascii="Overpass" w:eastAsia="Times New Roman" w:hAnsi="Overpass" w:cs="Calibri"/>
                <w:color w:val="212121"/>
                <w:lang w:eastAsia="it-IT"/>
              </w:rPr>
            </w:pPr>
            <w:r w:rsidRPr="00BE3951">
              <w:rPr>
                <w:rFonts w:ascii="Overpass" w:eastAsia="Times New Roman" w:hAnsi="Overpass" w:cs="Calibri"/>
                <w:color w:val="212121"/>
                <w:lang w:eastAsia="it-IT"/>
              </w:rPr>
              <w:t>Cash</w:t>
            </w:r>
          </w:p>
        </w:tc>
        <w:tc>
          <w:tcPr>
            <w:tcW w:w="1860" w:type="dxa"/>
            <w:vAlign w:val="center"/>
            <w:hideMark/>
          </w:tcPr>
          <w:p w14:paraId="770432B9"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232,859</w:t>
            </w:r>
          </w:p>
        </w:tc>
        <w:tc>
          <w:tcPr>
            <w:tcW w:w="1377" w:type="dxa"/>
            <w:vAlign w:val="center"/>
            <w:hideMark/>
          </w:tcPr>
          <w:p w14:paraId="771ADA44"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 </w:t>
            </w:r>
          </w:p>
        </w:tc>
        <w:tc>
          <w:tcPr>
            <w:tcW w:w="1724" w:type="dxa"/>
            <w:vAlign w:val="center"/>
            <w:hideMark/>
          </w:tcPr>
          <w:p w14:paraId="5C3454AB"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418,941</w:t>
            </w:r>
          </w:p>
        </w:tc>
      </w:tr>
      <w:tr w:rsidR="00BE3951" w:rsidRPr="00BE3951" w14:paraId="6ED4D675" w14:textId="77777777" w:rsidTr="00BE3951">
        <w:tc>
          <w:tcPr>
            <w:tcW w:w="4395" w:type="dxa"/>
            <w:vAlign w:val="center"/>
            <w:hideMark/>
          </w:tcPr>
          <w:p w14:paraId="62D3C5AC" w14:textId="77777777" w:rsidR="00BE3951" w:rsidRPr="00BE3951" w:rsidRDefault="00BE3951" w:rsidP="00BE3951">
            <w:pPr>
              <w:shd w:val="clear" w:color="auto" w:fill="FFFFFF"/>
              <w:spacing w:after="0" w:line="240" w:lineRule="auto"/>
              <w:jc w:val="both"/>
              <w:rPr>
                <w:rFonts w:ascii="Overpass" w:eastAsia="Times New Roman" w:hAnsi="Overpass" w:cs="Calibri"/>
                <w:color w:val="212121"/>
                <w:lang w:eastAsia="it-IT"/>
              </w:rPr>
            </w:pPr>
            <w:r w:rsidRPr="00BE3951">
              <w:rPr>
                <w:rFonts w:ascii="Overpass" w:eastAsia="Times New Roman" w:hAnsi="Overpass" w:cs="Calibri"/>
                <w:color w:val="212121"/>
                <w:lang w:eastAsia="it-IT"/>
              </w:rPr>
              <w:t>Restricted cash</w:t>
            </w:r>
          </w:p>
        </w:tc>
        <w:tc>
          <w:tcPr>
            <w:tcW w:w="1860" w:type="dxa"/>
            <w:vAlign w:val="center"/>
            <w:hideMark/>
          </w:tcPr>
          <w:p w14:paraId="71534D7E"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275,657</w:t>
            </w:r>
          </w:p>
        </w:tc>
        <w:tc>
          <w:tcPr>
            <w:tcW w:w="1377" w:type="dxa"/>
            <w:vAlign w:val="center"/>
            <w:hideMark/>
          </w:tcPr>
          <w:p w14:paraId="23D0DE33"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 </w:t>
            </w:r>
          </w:p>
        </w:tc>
        <w:tc>
          <w:tcPr>
            <w:tcW w:w="1724" w:type="dxa"/>
            <w:vAlign w:val="center"/>
            <w:hideMark/>
          </w:tcPr>
          <w:p w14:paraId="1EE914EF"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7,873</w:t>
            </w:r>
          </w:p>
        </w:tc>
      </w:tr>
      <w:tr w:rsidR="00BE3951" w:rsidRPr="00BE3951" w14:paraId="51DA0FB3" w14:textId="77777777" w:rsidTr="00BE3951">
        <w:tc>
          <w:tcPr>
            <w:tcW w:w="4395" w:type="dxa"/>
            <w:vAlign w:val="center"/>
            <w:hideMark/>
          </w:tcPr>
          <w:p w14:paraId="76344B33" w14:textId="77777777" w:rsidR="00BE3951" w:rsidRPr="00BE3951" w:rsidRDefault="00BE3951" w:rsidP="00BE3951">
            <w:pPr>
              <w:shd w:val="clear" w:color="auto" w:fill="FFFFFF"/>
              <w:spacing w:after="0" w:line="240" w:lineRule="auto"/>
              <w:jc w:val="both"/>
              <w:rPr>
                <w:rFonts w:ascii="Overpass" w:eastAsia="Times New Roman" w:hAnsi="Overpass" w:cs="Calibri"/>
                <w:color w:val="212121"/>
                <w:lang w:eastAsia="it-IT"/>
              </w:rPr>
            </w:pPr>
            <w:r w:rsidRPr="00BE3951">
              <w:rPr>
                <w:rFonts w:ascii="Overpass" w:eastAsia="Times New Roman" w:hAnsi="Overpass" w:cs="Calibri"/>
                <w:color w:val="212121"/>
                <w:lang w:eastAsia="it-IT"/>
              </w:rPr>
              <w:t>Securities pledged to an investor</w:t>
            </w:r>
          </w:p>
        </w:tc>
        <w:tc>
          <w:tcPr>
            <w:tcW w:w="1860" w:type="dxa"/>
            <w:vAlign w:val="center"/>
            <w:hideMark/>
          </w:tcPr>
          <w:p w14:paraId="4F35D7BE"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187,568</w:t>
            </w:r>
          </w:p>
        </w:tc>
        <w:tc>
          <w:tcPr>
            <w:tcW w:w="1377" w:type="dxa"/>
            <w:vAlign w:val="center"/>
            <w:hideMark/>
          </w:tcPr>
          <w:p w14:paraId="5FA2635F"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 </w:t>
            </w:r>
          </w:p>
        </w:tc>
        <w:tc>
          <w:tcPr>
            <w:tcW w:w="1724" w:type="dxa"/>
            <w:vAlign w:val="center"/>
            <w:hideMark/>
          </w:tcPr>
          <w:p w14:paraId="73CB1B0F"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w:t>
            </w:r>
          </w:p>
        </w:tc>
      </w:tr>
      <w:tr w:rsidR="00BE3951" w:rsidRPr="00BE3951" w14:paraId="1FB8A9AC" w14:textId="77777777" w:rsidTr="00BE3951">
        <w:tc>
          <w:tcPr>
            <w:tcW w:w="4395" w:type="dxa"/>
            <w:vAlign w:val="center"/>
            <w:hideMark/>
          </w:tcPr>
          <w:p w14:paraId="35992C9B" w14:textId="77777777" w:rsidR="00BE3951" w:rsidRPr="00BE3951" w:rsidRDefault="00BE3951" w:rsidP="00BE3951">
            <w:pPr>
              <w:shd w:val="clear" w:color="auto" w:fill="FFFFFF"/>
              <w:spacing w:after="0" w:line="240" w:lineRule="auto"/>
              <w:jc w:val="both"/>
              <w:rPr>
                <w:rFonts w:ascii="Overpass" w:eastAsia="Times New Roman" w:hAnsi="Overpass" w:cs="Calibri"/>
                <w:color w:val="212121"/>
                <w:lang w:eastAsia="it-IT"/>
              </w:rPr>
            </w:pPr>
            <w:r w:rsidRPr="00BE3951">
              <w:rPr>
                <w:rFonts w:ascii="Overpass" w:eastAsia="Times New Roman" w:hAnsi="Overpass" w:cs="Calibri"/>
                <w:color w:val="212121"/>
                <w:lang w:eastAsia="it-IT"/>
              </w:rPr>
              <w:t>Accounts receivable – third parties, net</w:t>
            </w:r>
          </w:p>
        </w:tc>
        <w:tc>
          <w:tcPr>
            <w:tcW w:w="1860" w:type="dxa"/>
            <w:vAlign w:val="center"/>
            <w:hideMark/>
          </w:tcPr>
          <w:p w14:paraId="50510356"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78,293</w:t>
            </w:r>
          </w:p>
        </w:tc>
        <w:tc>
          <w:tcPr>
            <w:tcW w:w="1377" w:type="dxa"/>
            <w:vAlign w:val="center"/>
            <w:hideMark/>
          </w:tcPr>
          <w:p w14:paraId="4EF9C997"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 </w:t>
            </w:r>
          </w:p>
        </w:tc>
        <w:tc>
          <w:tcPr>
            <w:tcW w:w="1724" w:type="dxa"/>
            <w:vAlign w:val="center"/>
            <w:hideMark/>
          </w:tcPr>
          <w:p w14:paraId="5FB78D68"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76,664</w:t>
            </w:r>
          </w:p>
        </w:tc>
      </w:tr>
      <w:tr w:rsidR="00BE3951" w:rsidRPr="00BE3951" w14:paraId="47CE7CE5" w14:textId="77777777" w:rsidTr="00BE3951">
        <w:tc>
          <w:tcPr>
            <w:tcW w:w="4395" w:type="dxa"/>
            <w:vAlign w:val="center"/>
            <w:hideMark/>
          </w:tcPr>
          <w:p w14:paraId="0A51EBA0" w14:textId="77777777" w:rsidR="00BE3951" w:rsidRPr="00BE3951" w:rsidRDefault="00BE3951" w:rsidP="00BE3951">
            <w:pPr>
              <w:shd w:val="clear" w:color="auto" w:fill="FFFFFF"/>
              <w:spacing w:after="0" w:line="240" w:lineRule="auto"/>
              <w:jc w:val="both"/>
              <w:rPr>
                <w:rFonts w:ascii="Overpass" w:eastAsia="Times New Roman" w:hAnsi="Overpass" w:cs="Calibri"/>
                <w:color w:val="212121"/>
                <w:lang w:eastAsia="it-IT"/>
              </w:rPr>
            </w:pPr>
            <w:r w:rsidRPr="00BE3951">
              <w:rPr>
                <w:rFonts w:ascii="Overpass" w:eastAsia="Times New Roman" w:hAnsi="Overpass" w:cs="Calibri"/>
                <w:color w:val="212121"/>
                <w:lang w:eastAsia="it-IT"/>
              </w:rPr>
              <w:t>Accounts receivable – related parties, net</w:t>
            </w:r>
          </w:p>
        </w:tc>
        <w:tc>
          <w:tcPr>
            <w:tcW w:w="1860" w:type="dxa"/>
            <w:vAlign w:val="center"/>
            <w:hideMark/>
          </w:tcPr>
          <w:p w14:paraId="03C91F30"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67,784</w:t>
            </w:r>
          </w:p>
        </w:tc>
        <w:tc>
          <w:tcPr>
            <w:tcW w:w="1377" w:type="dxa"/>
            <w:vAlign w:val="center"/>
            <w:hideMark/>
          </w:tcPr>
          <w:p w14:paraId="55BE218B"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 </w:t>
            </w:r>
          </w:p>
        </w:tc>
        <w:tc>
          <w:tcPr>
            <w:tcW w:w="1724" w:type="dxa"/>
            <w:vAlign w:val="center"/>
            <w:hideMark/>
          </w:tcPr>
          <w:p w14:paraId="7A19B8AB"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22,430</w:t>
            </w:r>
          </w:p>
        </w:tc>
      </w:tr>
      <w:tr w:rsidR="00BE3951" w:rsidRPr="00BE3951" w14:paraId="13A63F24" w14:textId="77777777" w:rsidTr="00BE3951">
        <w:tc>
          <w:tcPr>
            <w:tcW w:w="4395" w:type="dxa"/>
            <w:vAlign w:val="center"/>
            <w:hideMark/>
          </w:tcPr>
          <w:p w14:paraId="579A31EF" w14:textId="77777777" w:rsidR="00BE3951" w:rsidRPr="00BE3951" w:rsidRDefault="00BE3951" w:rsidP="00BE3951">
            <w:pPr>
              <w:shd w:val="clear" w:color="auto" w:fill="FFFFFF"/>
              <w:spacing w:after="0" w:line="240" w:lineRule="auto"/>
              <w:jc w:val="both"/>
              <w:rPr>
                <w:rFonts w:ascii="Overpass" w:eastAsia="Times New Roman" w:hAnsi="Overpass" w:cs="Calibri"/>
                <w:color w:val="212121"/>
                <w:lang w:eastAsia="it-IT"/>
              </w:rPr>
            </w:pPr>
            <w:r w:rsidRPr="00BE3951">
              <w:rPr>
                <w:rFonts w:ascii="Overpass" w:eastAsia="Times New Roman" w:hAnsi="Overpass" w:cs="Calibri"/>
                <w:color w:val="212121"/>
                <w:lang w:eastAsia="it-IT"/>
              </w:rPr>
              <w:t>Inventories</w:t>
            </w:r>
          </w:p>
        </w:tc>
        <w:tc>
          <w:tcPr>
            <w:tcW w:w="1860" w:type="dxa"/>
            <w:vAlign w:val="center"/>
            <w:hideMark/>
          </w:tcPr>
          <w:p w14:paraId="517A885F"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368,514</w:t>
            </w:r>
          </w:p>
        </w:tc>
        <w:tc>
          <w:tcPr>
            <w:tcW w:w="1377" w:type="dxa"/>
            <w:vAlign w:val="center"/>
            <w:hideMark/>
          </w:tcPr>
          <w:p w14:paraId="64CE8997"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 </w:t>
            </w:r>
          </w:p>
        </w:tc>
        <w:tc>
          <w:tcPr>
            <w:tcW w:w="1724" w:type="dxa"/>
            <w:vAlign w:val="center"/>
            <w:hideMark/>
          </w:tcPr>
          <w:p w14:paraId="628140F7"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265,190</w:t>
            </w:r>
          </w:p>
        </w:tc>
      </w:tr>
      <w:tr w:rsidR="00BE3951" w:rsidRPr="00BE3951" w14:paraId="58540D25" w14:textId="77777777" w:rsidTr="00BE3951">
        <w:tc>
          <w:tcPr>
            <w:tcW w:w="4395" w:type="dxa"/>
            <w:vAlign w:val="center"/>
            <w:hideMark/>
          </w:tcPr>
          <w:p w14:paraId="6BD101C5" w14:textId="77777777" w:rsidR="00BE3951" w:rsidRPr="00BE3951" w:rsidRDefault="00BE3951" w:rsidP="00BE3951">
            <w:pPr>
              <w:shd w:val="clear" w:color="auto" w:fill="FFFFFF"/>
              <w:spacing w:after="0" w:line="240" w:lineRule="auto"/>
              <w:jc w:val="both"/>
              <w:rPr>
                <w:rFonts w:ascii="Overpass" w:eastAsia="Times New Roman" w:hAnsi="Overpass" w:cs="Calibri"/>
                <w:color w:val="212121"/>
                <w:lang w:eastAsia="it-IT"/>
              </w:rPr>
            </w:pPr>
            <w:r w:rsidRPr="00BE3951">
              <w:rPr>
                <w:rFonts w:ascii="Overpass" w:eastAsia="Times New Roman" w:hAnsi="Overpass" w:cs="Calibri"/>
                <w:color w:val="212121"/>
                <w:lang w:eastAsia="it-IT"/>
              </w:rPr>
              <w:t>Prepayments and other current assets – third parties, net</w:t>
            </w:r>
          </w:p>
        </w:tc>
        <w:tc>
          <w:tcPr>
            <w:tcW w:w="1860" w:type="dxa"/>
            <w:vAlign w:val="center"/>
            <w:hideMark/>
          </w:tcPr>
          <w:p w14:paraId="4C3DDD86"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87,961</w:t>
            </w:r>
          </w:p>
        </w:tc>
        <w:tc>
          <w:tcPr>
            <w:tcW w:w="1377" w:type="dxa"/>
            <w:vAlign w:val="center"/>
            <w:hideMark/>
          </w:tcPr>
          <w:p w14:paraId="7C683A5D"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 </w:t>
            </w:r>
          </w:p>
        </w:tc>
        <w:tc>
          <w:tcPr>
            <w:tcW w:w="1724" w:type="dxa"/>
            <w:vAlign w:val="center"/>
            <w:hideMark/>
          </w:tcPr>
          <w:p w14:paraId="4593F613"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63,870</w:t>
            </w:r>
          </w:p>
        </w:tc>
      </w:tr>
      <w:tr w:rsidR="00BE3951" w:rsidRPr="00BE3951" w14:paraId="6B727164" w14:textId="77777777" w:rsidTr="00BE3951">
        <w:tc>
          <w:tcPr>
            <w:tcW w:w="4395" w:type="dxa"/>
            <w:vAlign w:val="center"/>
            <w:hideMark/>
          </w:tcPr>
          <w:p w14:paraId="2B8920E8" w14:textId="77777777" w:rsidR="00BE3951" w:rsidRPr="00BE3951" w:rsidRDefault="00BE3951" w:rsidP="00BE3951">
            <w:pPr>
              <w:shd w:val="clear" w:color="auto" w:fill="FFFFFF"/>
              <w:spacing w:after="0" w:line="240" w:lineRule="auto"/>
              <w:jc w:val="both"/>
              <w:rPr>
                <w:rFonts w:ascii="Overpass" w:eastAsia="Times New Roman" w:hAnsi="Overpass" w:cs="Calibri"/>
                <w:color w:val="212121"/>
                <w:lang w:eastAsia="it-IT"/>
              </w:rPr>
            </w:pPr>
            <w:r w:rsidRPr="00BE3951">
              <w:rPr>
                <w:rFonts w:ascii="Overpass" w:eastAsia="Times New Roman" w:hAnsi="Overpass" w:cs="Calibri"/>
                <w:color w:val="212121"/>
                <w:lang w:eastAsia="it-IT"/>
              </w:rPr>
              <w:t>Prepayments and other current assets – related parties, net</w:t>
            </w:r>
          </w:p>
        </w:tc>
        <w:tc>
          <w:tcPr>
            <w:tcW w:w="1860" w:type="dxa"/>
            <w:vAlign w:val="center"/>
            <w:hideMark/>
          </w:tcPr>
          <w:p w14:paraId="46C01D4D"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34,085</w:t>
            </w:r>
          </w:p>
        </w:tc>
        <w:tc>
          <w:tcPr>
            <w:tcW w:w="1377" w:type="dxa"/>
            <w:vAlign w:val="center"/>
            <w:hideMark/>
          </w:tcPr>
          <w:p w14:paraId="5330F594"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 </w:t>
            </w:r>
          </w:p>
        </w:tc>
        <w:tc>
          <w:tcPr>
            <w:tcW w:w="1724" w:type="dxa"/>
            <w:vAlign w:val="center"/>
            <w:hideMark/>
          </w:tcPr>
          <w:p w14:paraId="184A0A1B"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28,744</w:t>
            </w:r>
          </w:p>
        </w:tc>
      </w:tr>
      <w:tr w:rsidR="00BE3951" w:rsidRPr="00BE3951" w14:paraId="4F7E22AC" w14:textId="77777777" w:rsidTr="00BE3951">
        <w:tc>
          <w:tcPr>
            <w:tcW w:w="4395" w:type="dxa"/>
            <w:vAlign w:val="center"/>
            <w:hideMark/>
          </w:tcPr>
          <w:p w14:paraId="20750363" w14:textId="77777777" w:rsidR="00BE3951" w:rsidRPr="00BE3951" w:rsidRDefault="00BE3951" w:rsidP="00BE3951">
            <w:pPr>
              <w:shd w:val="clear" w:color="auto" w:fill="FFFFFF"/>
              <w:spacing w:after="0" w:line="240" w:lineRule="auto"/>
              <w:jc w:val="both"/>
              <w:rPr>
                <w:rFonts w:ascii="Overpass" w:eastAsia="Times New Roman" w:hAnsi="Overpass" w:cs="Calibri"/>
                <w:color w:val="212121"/>
                <w:lang w:eastAsia="it-IT"/>
              </w:rPr>
            </w:pPr>
            <w:r w:rsidRPr="00BE3951">
              <w:rPr>
                <w:rFonts w:ascii="Overpass" w:eastAsia="Times New Roman" w:hAnsi="Overpass" w:cs="Calibri"/>
                <w:color w:val="212121"/>
                <w:lang w:eastAsia="it-IT"/>
              </w:rPr>
              <w:t> </w:t>
            </w:r>
          </w:p>
        </w:tc>
        <w:tc>
          <w:tcPr>
            <w:tcW w:w="1860" w:type="dxa"/>
            <w:tcBorders>
              <w:top w:val="single" w:sz="8" w:space="0" w:color="000000"/>
            </w:tcBorders>
            <w:vAlign w:val="center"/>
            <w:hideMark/>
          </w:tcPr>
          <w:p w14:paraId="440FC2C2"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 </w:t>
            </w:r>
          </w:p>
        </w:tc>
        <w:tc>
          <w:tcPr>
            <w:tcW w:w="1377" w:type="dxa"/>
            <w:vAlign w:val="center"/>
            <w:hideMark/>
          </w:tcPr>
          <w:p w14:paraId="2BAF657E"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 </w:t>
            </w:r>
          </w:p>
        </w:tc>
        <w:tc>
          <w:tcPr>
            <w:tcW w:w="1724" w:type="dxa"/>
            <w:tcBorders>
              <w:top w:val="single" w:sz="8" w:space="0" w:color="000000"/>
            </w:tcBorders>
            <w:vAlign w:val="center"/>
            <w:hideMark/>
          </w:tcPr>
          <w:p w14:paraId="02D56486"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 </w:t>
            </w:r>
          </w:p>
        </w:tc>
      </w:tr>
      <w:tr w:rsidR="00BE3951" w:rsidRPr="00BE3951" w14:paraId="6C3E5125" w14:textId="77777777" w:rsidTr="00BE3951">
        <w:tc>
          <w:tcPr>
            <w:tcW w:w="4395" w:type="dxa"/>
            <w:vAlign w:val="center"/>
            <w:hideMark/>
          </w:tcPr>
          <w:p w14:paraId="350510F4" w14:textId="77777777" w:rsidR="00BE3951" w:rsidRPr="00BE3951" w:rsidRDefault="00BE3951" w:rsidP="00BE3951">
            <w:pPr>
              <w:shd w:val="clear" w:color="auto" w:fill="FFFFFF"/>
              <w:spacing w:after="0" w:line="240" w:lineRule="auto"/>
              <w:jc w:val="both"/>
              <w:rPr>
                <w:rFonts w:ascii="Overpass" w:eastAsia="Times New Roman" w:hAnsi="Overpass" w:cs="Calibri"/>
                <w:color w:val="212121"/>
                <w:lang w:eastAsia="it-IT"/>
              </w:rPr>
            </w:pPr>
            <w:r w:rsidRPr="00BE3951">
              <w:rPr>
                <w:rFonts w:ascii="Overpass" w:eastAsia="Times New Roman" w:hAnsi="Overpass" w:cs="Calibri"/>
                <w:b/>
                <w:bCs/>
                <w:color w:val="212121"/>
                <w:lang w:eastAsia="it-IT"/>
              </w:rPr>
              <w:t>Total current assets</w:t>
            </w:r>
          </w:p>
        </w:tc>
        <w:tc>
          <w:tcPr>
            <w:tcW w:w="1860" w:type="dxa"/>
            <w:tcBorders>
              <w:bottom w:val="single" w:sz="8" w:space="0" w:color="000000"/>
            </w:tcBorders>
            <w:vAlign w:val="center"/>
            <w:hideMark/>
          </w:tcPr>
          <w:p w14:paraId="1E6843C6"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b/>
                <w:bCs/>
                <w:color w:val="212121"/>
                <w:lang w:eastAsia="it-IT"/>
              </w:rPr>
              <w:t>1,332,721</w:t>
            </w:r>
          </w:p>
        </w:tc>
        <w:tc>
          <w:tcPr>
            <w:tcW w:w="1377" w:type="dxa"/>
            <w:vAlign w:val="center"/>
            <w:hideMark/>
          </w:tcPr>
          <w:p w14:paraId="20FCC252"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 </w:t>
            </w:r>
          </w:p>
        </w:tc>
        <w:tc>
          <w:tcPr>
            <w:tcW w:w="1724" w:type="dxa"/>
            <w:tcBorders>
              <w:bottom w:val="single" w:sz="8" w:space="0" w:color="000000"/>
            </w:tcBorders>
            <w:vAlign w:val="center"/>
            <w:hideMark/>
          </w:tcPr>
          <w:p w14:paraId="1BB790E5"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b/>
                <w:bCs/>
                <w:color w:val="212121"/>
                <w:lang w:eastAsia="it-IT"/>
              </w:rPr>
              <w:t>883,712</w:t>
            </w:r>
          </w:p>
        </w:tc>
      </w:tr>
      <w:tr w:rsidR="00BE3951" w:rsidRPr="00BE3951" w14:paraId="08FDF2EB" w14:textId="77777777" w:rsidTr="00BE3951">
        <w:tc>
          <w:tcPr>
            <w:tcW w:w="4395" w:type="dxa"/>
            <w:vAlign w:val="center"/>
            <w:hideMark/>
          </w:tcPr>
          <w:p w14:paraId="2DBBDBDF" w14:textId="77777777" w:rsidR="00BE3951" w:rsidRPr="00BE3951" w:rsidRDefault="00BE3951" w:rsidP="00BE3951">
            <w:pPr>
              <w:shd w:val="clear" w:color="auto" w:fill="FFFFFF"/>
              <w:spacing w:after="0" w:line="240" w:lineRule="auto"/>
              <w:jc w:val="both"/>
              <w:rPr>
                <w:rFonts w:ascii="Overpass" w:eastAsia="Times New Roman" w:hAnsi="Overpass" w:cs="Calibri"/>
                <w:color w:val="212121"/>
                <w:lang w:eastAsia="it-IT"/>
              </w:rPr>
            </w:pPr>
            <w:r w:rsidRPr="00BE3951">
              <w:rPr>
                <w:rFonts w:ascii="Overpass" w:eastAsia="Times New Roman" w:hAnsi="Overpass" w:cs="Calibri"/>
                <w:b/>
                <w:bCs/>
                <w:color w:val="212121"/>
                <w:lang w:eastAsia="it-IT"/>
              </w:rPr>
              <w:t> </w:t>
            </w:r>
          </w:p>
        </w:tc>
        <w:tc>
          <w:tcPr>
            <w:tcW w:w="1860" w:type="dxa"/>
            <w:tcBorders>
              <w:top w:val="single" w:sz="8" w:space="0" w:color="000000"/>
            </w:tcBorders>
            <w:vAlign w:val="center"/>
            <w:hideMark/>
          </w:tcPr>
          <w:p w14:paraId="1AEED55A"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 </w:t>
            </w:r>
          </w:p>
        </w:tc>
        <w:tc>
          <w:tcPr>
            <w:tcW w:w="1377" w:type="dxa"/>
            <w:vAlign w:val="center"/>
            <w:hideMark/>
          </w:tcPr>
          <w:p w14:paraId="577BA148"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 </w:t>
            </w:r>
          </w:p>
        </w:tc>
        <w:tc>
          <w:tcPr>
            <w:tcW w:w="1724" w:type="dxa"/>
            <w:tcBorders>
              <w:top w:val="single" w:sz="8" w:space="0" w:color="000000"/>
            </w:tcBorders>
            <w:vAlign w:val="center"/>
            <w:hideMark/>
          </w:tcPr>
          <w:p w14:paraId="3CE71ADA"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 </w:t>
            </w:r>
          </w:p>
        </w:tc>
      </w:tr>
      <w:tr w:rsidR="00BE3951" w:rsidRPr="00BE3951" w14:paraId="5509E47B" w14:textId="77777777" w:rsidTr="00BE3951">
        <w:tc>
          <w:tcPr>
            <w:tcW w:w="4395" w:type="dxa"/>
            <w:vAlign w:val="center"/>
            <w:hideMark/>
          </w:tcPr>
          <w:p w14:paraId="115CCD0F" w14:textId="77777777" w:rsidR="00BE3951" w:rsidRPr="00BE3951" w:rsidRDefault="00BE3951" w:rsidP="00BE3951">
            <w:pPr>
              <w:shd w:val="clear" w:color="auto" w:fill="FFFFFF"/>
              <w:spacing w:after="0" w:line="240" w:lineRule="auto"/>
              <w:jc w:val="both"/>
              <w:rPr>
                <w:rFonts w:ascii="Overpass" w:eastAsia="Times New Roman" w:hAnsi="Overpass" w:cs="Calibri"/>
                <w:color w:val="212121"/>
                <w:lang w:eastAsia="it-IT"/>
              </w:rPr>
            </w:pPr>
            <w:r w:rsidRPr="00BE3951">
              <w:rPr>
                <w:rFonts w:ascii="Overpass" w:eastAsia="Times New Roman" w:hAnsi="Overpass" w:cs="Calibri"/>
                <w:b/>
                <w:bCs/>
                <w:color w:val="212121"/>
                <w:lang w:eastAsia="it-IT"/>
              </w:rPr>
              <w:t>Non-current assets</w:t>
            </w:r>
          </w:p>
        </w:tc>
        <w:tc>
          <w:tcPr>
            <w:tcW w:w="1860" w:type="dxa"/>
            <w:vAlign w:val="center"/>
            <w:hideMark/>
          </w:tcPr>
          <w:p w14:paraId="303367F4"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 </w:t>
            </w:r>
          </w:p>
        </w:tc>
        <w:tc>
          <w:tcPr>
            <w:tcW w:w="1377" w:type="dxa"/>
            <w:vAlign w:val="center"/>
            <w:hideMark/>
          </w:tcPr>
          <w:p w14:paraId="3F27DBA0"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 </w:t>
            </w:r>
          </w:p>
        </w:tc>
        <w:tc>
          <w:tcPr>
            <w:tcW w:w="1724" w:type="dxa"/>
            <w:vAlign w:val="center"/>
            <w:hideMark/>
          </w:tcPr>
          <w:p w14:paraId="772156BF"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 </w:t>
            </w:r>
          </w:p>
        </w:tc>
      </w:tr>
      <w:tr w:rsidR="00BE3951" w:rsidRPr="00BE3951" w14:paraId="553BE08F" w14:textId="77777777" w:rsidTr="00BE3951">
        <w:tc>
          <w:tcPr>
            <w:tcW w:w="4395" w:type="dxa"/>
            <w:vAlign w:val="center"/>
            <w:hideMark/>
          </w:tcPr>
          <w:p w14:paraId="778F2FB4" w14:textId="77777777" w:rsidR="00BE3951" w:rsidRPr="00BE3951" w:rsidRDefault="00BE3951" w:rsidP="00BE3951">
            <w:pPr>
              <w:shd w:val="clear" w:color="auto" w:fill="FFFFFF"/>
              <w:spacing w:after="0" w:line="240" w:lineRule="auto"/>
              <w:jc w:val="both"/>
              <w:rPr>
                <w:rFonts w:ascii="Overpass" w:eastAsia="Times New Roman" w:hAnsi="Overpass" w:cs="Calibri"/>
                <w:color w:val="212121"/>
                <w:lang w:eastAsia="it-IT"/>
              </w:rPr>
            </w:pPr>
            <w:r w:rsidRPr="00BE3951">
              <w:rPr>
                <w:rFonts w:ascii="Overpass" w:eastAsia="Times New Roman" w:hAnsi="Overpass" w:cs="Calibri"/>
                <w:color w:val="212121"/>
                <w:lang w:eastAsia="it-IT"/>
              </w:rPr>
              <w:t>Restricted cash</w:t>
            </w:r>
          </w:p>
        </w:tc>
        <w:tc>
          <w:tcPr>
            <w:tcW w:w="1860" w:type="dxa"/>
            <w:vAlign w:val="center"/>
            <w:hideMark/>
          </w:tcPr>
          <w:p w14:paraId="4B25F13E"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1,154</w:t>
            </w:r>
          </w:p>
        </w:tc>
        <w:tc>
          <w:tcPr>
            <w:tcW w:w="1377" w:type="dxa"/>
            <w:vAlign w:val="center"/>
            <w:hideMark/>
          </w:tcPr>
          <w:p w14:paraId="09A4C419"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 </w:t>
            </w:r>
          </w:p>
        </w:tc>
        <w:tc>
          <w:tcPr>
            <w:tcW w:w="1724" w:type="dxa"/>
            <w:vAlign w:val="center"/>
            <w:hideMark/>
          </w:tcPr>
          <w:p w14:paraId="1103AE21"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321</w:t>
            </w:r>
          </w:p>
        </w:tc>
      </w:tr>
      <w:tr w:rsidR="00BE3951" w:rsidRPr="00BE3951" w14:paraId="4643B5B4" w14:textId="77777777" w:rsidTr="00BE3951">
        <w:tc>
          <w:tcPr>
            <w:tcW w:w="4395" w:type="dxa"/>
            <w:vAlign w:val="center"/>
            <w:hideMark/>
          </w:tcPr>
          <w:p w14:paraId="7522AD1B" w14:textId="77777777" w:rsidR="00BE3951" w:rsidRPr="00BE3951" w:rsidRDefault="00BE3951" w:rsidP="00BE3951">
            <w:pPr>
              <w:shd w:val="clear" w:color="auto" w:fill="FFFFFF"/>
              <w:spacing w:after="0" w:line="240" w:lineRule="auto"/>
              <w:jc w:val="both"/>
              <w:rPr>
                <w:rFonts w:ascii="Overpass" w:eastAsia="Times New Roman" w:hAnsi="Overpass" w:cs="Calibri"/>
                <w:color w:val="212121"/>
                <w:lang w:eastAsia="it-IT"/>
              </w:rPr>
            </w:pPr>
            <w:r w:rsidRPr="00BE3951">
              <w:rPr>
                <w:rFonts w:ascii="Overpass" w:eastAsia="Times New Roman" w:hAnsi="Overpass" w:cs="Calibri"/>
                <w:color w:val="212121"/>
                <w:lang w:eastAsia="it-IT"/>
              </w:rPr>
              <w:t>Investment securities – related parties</w:t>
            </w:r>
          </w:p>
        </w:tc>
        <w:tc>
          <w:tcPr>
            <w:tcW w:w="1860" w:type="dxa"/>
            <w:vAlign w:val="center"/>
            <w:hideMark/>
          </w:tcPr>
          <w:p w14:paraId="4E57D8DF"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2,063</w:t>
            </w:r>
          </w:p>
        </w:tc>
        <w:tc>
          <w:tcPr>
            <w:tcW w:w="1377" w:type="dxa"/>
            <w:vAlign w:val="center"/>
            <w:hideMark/>
          </w:tcPr>
          <w:p w14:paraId="1B27CACA"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 </w:t>
            </w:r>
          </w:p>
        </w:tc>
        <w:tc>
          <w:tcPr>
            <w:tcW w:w="1724" w:type="dxa"/>
            <w:vAlign w:val="center"/>
            <w:hideMark/>
          </w:tcPr>
          <w:p w14:paraId="609B70D0"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3,326</w:t>
            </w:r>
          </w:p>
        </w:tc>
      </w:tr>
      <w:tr w:rsidR="00BE3951" w:rsidRPr="00BE3951" w14:paraId="37DD94FD" w14:textId="77777777" w:rsidTr="00BE3951">
        <w:tc>
          <w:tcPr>
            <w:tcW w:w="4395" w:type="dxa"/>
            <w:vAlign w:val="center"/>
            <w:hideMark/>
          </w:tcPr>
          <w:p w14:paraId="2E9E8193" w14:textId="77777777" w:rsidR="00BE3951" w:rsidRPr="00BE3951" w:rsidRDefault="00BE3951" w:rsidP="00BE3951">
            <w:pPr>
              <w:shd w:val="clear" w:color="auto" w:fill="FFFFFF"/>
              <w:spacing w:after="0" w:line="240" w:lineRule="auto"/>
              <w:jc w:val="both"/>
              <w:rPr>
                <w:rFonts w:ascii="Overpass" w:eastAsia="Times New Roman" w:hAnsi="Overpass" w:cs="Calibri"/>
                <w:color w:val="212121"/>
                <w:lang w:eastAsia="it-IT"/>
              </w:rPr>
            </w:pPr>
            <w:r w:rsidRPr="00BE3951">
              <w:rPr>
                <w:rFonts w:ascii="Overpass" w:eastAsia="Times New Roman" w:hAnsi="Overpass" w:cs="Calibri"/>
                <w:color w:val="212121"/>
                <w:lang w:eastAsia="it-IT"/>
              </w:rPr>
              <w:t>Securities pledged to an investor</w:t>
            </w:r>
          </w:p>
        </w:tc>
        <w:tc>
          <w:tcPr>
            <w:tcW w:w="1860" w:type="dxa"/>
            <w:vAlign w:val="center"/>
            <w:hideMark/>
          </w:tcPr>
          <w:p w14:paraId="11DDAD50"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309,613</w:t>
            </w:r>
          </w:p>
        </w:tc>
        <w:tc>
          <w:tcPr>
            <w:tcW w:w="1377" w:type="dxa"/>
            <w:vAlign w:val="center"/>
            <w:hideMark/>
          </w:tcPr>
          <w:p w14:paraId="004E7F6D"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 </w:t>
            </w:r>
          </w:p>
        </w:tc>
        <w:tc>
          <w:tcPr>
            <w:tcW w:w="1724" w:type="dxa"/>
            <w:vAlign w:val="center"/>
            <w:hideMark/>
          </w:tcPr>
          <w:p w14:paraId="5E7B3643"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w:t>
            </w:r>
          </w:p>
        </w:tc>
      </w:tr>
      <w:tr w:rsidR="00BE3951" w:rsidRPr="00BE3951" w14:paraId="5F3061F4" w14:textId="77777777" w:rsidTr="00BE3951">
        <w:tc>
          <w:tcPr>
            <w:tcW w:w="4395" w:type="dxa"/>
            <w:vAlign w:val="center"/>
            <w:hideMark/>
          </w:tcPr>
          <w:p w14:paraId="4AA97E4F" w14:textId="77777777" w:rsidR="00BE3951" w:rsidRPr="00BE3951" w:rsidRDefault="00BE3951" w:rsidP="00BE3951">
            <w:pPr>
              <w:shd w:val="clear" w:color="auto" w:fill="FFFFFF"/>
              <w:spacing w:after="0" w:line="240" w:lineRule="auto"/>
              <w:jc w:val="both"/>
              <w:rPr>
                <w:rFonts w:ascii="Overpass" w:eastAsia="Times New Roman" w:hAnsi="Overpass" w:cs="Calibri"/>
                <w:color w:val="212121"/>
                <w:lang w:eastAsia="it-IT"/>
              </w:rPr>
            </w:pPr>
            <w:r w:rsidRPr="00BE3951">
              <w:rPr>
                <w:rFonts w:ascii="Overpass" w:eastAsia="Times New Roman" w:hAnsi="Overpass" w:cs="Calibri"/>
                <w:color w:val="212121"/>
                <w:lang w:eastAsia="it-IT"/>
              </w:rPr>
              <w:t>Loans receivable from a related party</w:t>
            </w:r>
          </w:p>
        </w:tc>
        <w:tc>
          <w:tcPr>
            <w:tcW w:w="1860" w:type="dxa"/>
            <w:vAlign w:val="center"/>
            <w:hideMark/>
          </w:tcPr>
          <w:p w14:paraId="635F72B7"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202,969</w:t>
            </w:r>
          </w:p>
        </w:tc>
        <w:tc>
          <w:tcPr>
            <w:tcW w:w="1377" w:type="dxa"/>
            <w:vAlign w:val="center"/>
            <w:hideMark/>
          </w:tcPr>
          <w:p w14:paraId="5FC0C466"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 </w:t>
            </w:r>
          </w:p>
        </w:tc>
        <w:tc>
          <w:tcPr>
            <w:tcW w:w="1724" w:type="dxa"/>
            <w:vAlign w:val="center"/>
            <w:hideMark/>
          </w:tcPr>
          <w:p w14:paraId="013B68CE"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w:t>
            </w:r>
          </w:p>
        </w:tc>
      </w:tr>
      <w:tr w:rsidR="00BE3951" w:rsidRPr="00BE3951" w14:paraId="032CE88D" w14:textId="77777777" w:rsidTr="00BE3951">
        <w:tc>
          <w:tcPr>
            <w:tcW w:w="4395" w:type="dxa"/>
            <w:vAlign w:val="center"/>
            <w:hideMark/>
          </w:tcPr>
          <w:p w14:paraId="5E2AB38B" w14:textId="77777777" w:rsidR="00BE3951" w:rsidRPr="00BE3951" w:rsidRDefault="00BE3951" w:rsidP="00BE3951">
            <w:pPr>
              <w:shd w:val="clear" w:color="auto" w:fill="FFFFFF"/>
              <w:spacing w:after="0" w:line="240" w:lineRule="auto"/>
              <w:jc w:val="both"/>
              <w:rPr>
                <w:rFonts w:ascii="Overpass" w:eastAsia="Times New Roman" w:hAnsi="Overpass" w:cs="Calibri"/>
                <w:color w:val="212121"/>
                <w:lang w:eastAsia="it-IT"/>
              </w:rPr>
            </w:pPr>
            <w:r w:rsidRPr="00BE3951">
              <w:rPr>
                <w:rFonts w:ascii="Overpass" w:eastAsia="Times New Roman" w:hAnsi="Overpass" w:cs="Calibri"/>
                <w:color w:val="212121"/>
                <w:lang w:eastAsia="it-IT"/>
              </w:rPr>
              <w:t>Property, equipment and software, net</w:t>
            </w:r>
          </w:p>
        </w:tc>
        <w:tc>
          <w:tcPr>
            <w:tcW w:w="1860" w:type="dxa"/>
            <w:vAlign w:val="center"/>
            <w:hideMark/>
          </w:tcPr>
          <w:p w14:paraId="2736C200"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352,329</w:t>
            </w:r>
          </w:p>
        </w:tc>
        <w:tc>
          <w:tcPr>
            <w:tcW w:w="1377" w:type="dxa"/>
            <w:vAlign w:val="center"/>
            <w:hideMark/>
          </w:tcPr>
          <w:p w14:paraId="7ABD400E"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 </w:t>
            </w:r>
          </w:p>
        </w:tc>
        <w:tc>
          <w:tcPr>
            <w:tcW w:w="1724" w:type="dxa"/>
            <w:vAlign w:val="center"/>
            <w:hideMark/>
          </w:tcPr>
          <w:p w14:paraId="494F52EB"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354,617</w:t>
            </w:r>
          </w:p>
        </w:tc>
      </w:tr>
      <w:tr w:rsidR="00BE3951" w:rsidRPr="00BE3951" w14:paraId="091E0FC8" w14:textId="77777777" w:rsidTr="00BE3951">
        <w:tc>
          <w:tcPr>
            <w:tcW w:w="4395" w:type="dxa"/>
            <w:vAlign w:val="center"/>
            <w:hideMark/>
          </w:tcPr>
          <w:p w14:paraId="6CE22144" w14:textId="77777777" w:rsidR="00BE3951" w:rsidRPr="00BE3951" w:rsidRDefault="00BE3951" w:rsidP="00BE3951">
            <w:pPr>
              <w:shd w:val="clear" w:color="auto" w:fill="FFFFFF"/>
              <w:spacing w:after="0" w:line="240" w:lineRule="auto"/>
              <w:jc w:val="both"/>
              <w:rPr>
                <w:rFonts w:ascii="Overpass" w:eastAsia="Times New Roman" w:hAnsi="Overpass" w:cs="Calibri"/>
                <w:color w:val="212121"/>
                <w:lang w:eastAsia="it-IT"/>
              </w:rPr>
            </w:pPr>
            <w:r w:rsidRPr="00BE3951">
              <w:rPr>
                <w:rFonts w:ascii="Overpass" w:eastAsia="Times New Roman" w:hAnsi="Overpass" w:cs="Calibri"/>
                <w:color w:val="212121"/>
                <w:lang w:eastAsia="it-IT"/>
              </w:rPr>
              <w:t>Intangible assets</w:t>
            </w:r>
          </w:p>
        </w:tc>
        <w:tc>
          <w:tcPr>
            <w:tcW w:w="1860" w:type="dxa"/>
            <w:vAlign w:val="center"/>
            <w:hideMark/>
          </w:tcPr>
          <w:p w14:paraId="3A2328D0"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116,359</w:t>
            </w:r>
          </w:p>
        </w:tc>
        <w:tc>
          <w:tcPr>
            <w:tcW w:w="1377" w:type="dxa"/>
            <w:vAlign w:val="center"/>
            <w:hideMark/>
          </w:tcPr>
          <w:p w14:paraId="71E18EBF"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 </w:t>
            </w:r>
          </w:p>
        </w:tc>
        <w:tc>
          <w:tcPr>
            <w:tcW w:w="1724" w:type="dxa"/>
            <w:vAlign w:val="center"/>
            <w:hideMark/>
          </w:tcPr>
          <w:p w14:paraId="752E37C2"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116,360</w:t>
            </w:r>
          </w:p>
        </w:tc>
      </w:tr>
      <w:tr w:rsidR="00BE3951" w:rsidRPr="00BE3951" w14:paraId="4C4E8FD7" w14:textId="77777777" w:rsidTr="00BE3951">
        <w:tc>
          <w:tcPr>
            <w:tcW w:w="4395" w:type="dxa"/>
            <w:vAlign w:val="center"/>
            <w:hideMark/>
          </w:tcPr>
          <w:p w14:paraId="61501A56" w14:textId="77777777" w:rsidR="00BE3951" w:rsidRPr="00BE3951" w:rsidRDefault="00BE3951" w:rsidP="00BE3951">
            <w:pPr>
              <w:shd w:val="clear" w:color="auto" w:fill="FFFFFF"/>
              <w:spacing w:after="0" w:line="240" w:lineRule="auto"/>
              <w:jc w:val="both"/>
              <w:rPr>
                <w:rFonts w:ascii="Overpass" w:eastAsia="Times New Roman" w:hAnsi="Overpass" w:cs="Calibri"/>
                <w:color w:val="212121"/>
                <w:lang w:eastAsia="it-IT"/>
              </w:rPr>
            </w:pPr>
            <w:r w:rsidRPr="00BE3951">
              <w:rPr>
                <w:rFonts w:ascii="Overpass" w:eastAsia="Times New Roman" w:hAnsi="Overpass" w:cs="Calibri"/>
                <w:color w:val="212121"/>
                <w:lang w:eastAsia="it-IT"/>
              </w:rPr>
              <w:t>Operating lease right-of-use assets</w:t>
            </w:r>
          </w:p>
        </w:tc>
        <w:tc>
          <w:tcPr>
            <w:tcW w:w="1860" w:type="dxa"/>
            <w:vAlign w:val="center"/>
            <w:hideMark/>
          </w:tcPr>
          <w:p w14:paraId="590F354D"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168,442</w:t>
            </w:r>
          </w:p>
        </w:tc>
        <w:tc>
          <w:tcPr>
            <w:tcW w:w="1377" w:type="dxa"/>
            <w:vAlign w:val="center"/>
            <w:hideMark/>
          </w:tcPr>
          <w:p w14:paraId="377C9F91"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 </w:t>
            </w:r>
          </w:p>
        </w:tc>
        <w:tc>
          <w:tcPr>
            <w:tcW w:w="1724" w:type="dxa"/>
            <w:vAlign w:val="center"/>
            <w:hideMark/>
          </w:tcPr>
          <w:p w14:paraId="43025A4A"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173,103</w:t>
            </w:r>
          </w:p>
        </w:tc>
      </w:tr>
      <w:tr w:rsidR="00BE3951" w:rsidRPr="00BE3951" w14:paraId="7E0303BD" w14:textId="77777777" w:rsidTr="00BE3951">
        <w:tc>
          <w:tcPr>
            <w:tcW w:w="4395" w:type="dxa"/>
            <w:vAlign w:val="center"/>
            <w:hideMark/>
          </w:tcPr>
          <w:p w14:paraId="7CF10577" w14:textId="77777777" w:rsidR="00BE3951" w:rsidRPr="00BE3951" w:rsidRDefault="00BE3951" w:rsidP="00BE3951">
            <w:pPr>
              <w:shd w:val="clear" w:color="auto" w:fill="FFFFFF"/>
              <w:spacing w:after="0" w:line="240" w:lineRule="auto"/>
              <w:jc w:val="both"/>
              <w:rPr>
                <w:rFonts w:ascii="Overpass" w:eastAsia="Times New Roman" w:hAnsi="Overpass" w:cs="Calibri"/>
                <w:color w:val="212121"/>
                <w:lang w:eastAsia="it-IT"/>
              </w:rPr>
            </w:pPr>
            <w:r w:rsidRPr="00BE3951">
              <w:rPr>
                <w:rFonts w:ascii="Overpass" w:eastAsia="Times New Roman" w:hAnsi="Overpass" w:cs="Calibri"/>
                <w:color w:val="212121"/>
                <w:lang w:eastAsia="it-IT"/>
              </w:rPr>
              <w:t>Other non-current assets – third parties</w:t>
            </w:r>
          </w:p>
        </w:tc>
        <w:tc>
          <w:tcPr>
            <w:tcW w:w="1860" w:type="dxa"/>
            <w:vAlign w:val="center"/>
            <w:hideMark/>
          </w:tcPr>
          <w:p w14:paraId="456BA8AE"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55,146</w:t>
            </w:r>
          </w:p>
        </w:tc>
        <w:tc>
          <w:tcPr>
            <w:tcW w:w="1377" w:type="dxa"/>
            <w:vAlign w:val="center"/>
            <w:hideMark/>
          </w:tcPr>
          <w:p w14:paraId="4E32FE31"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 </w:t>
            </w:r>
          </w:p>
        </w:tc>
        <w:tc>
          <w:tcPr>
            <w:tcW w:w="1724" w:type="dxa"/>
            <w:vAlign w:val="center"/>
            <w:hideMark/>
          </w:tcPr>
          <w:p w14:paraId="154E759F"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50,533</w:t>
            </w:r>
          </w:p>
        </w:tc>
      </w:tr>
      <w:tr w:rsidR="00BE3951" w:rsidRPr="00BE3951" w14:paraId="5EB5BE97" w14:textId="77777777" w:rsidTr="00BE3951">
        <w:tc>
          <w:tcPr>
            <w:tcW w:w="4395" w:type="dxa"/>
            <w:vAlign w:val="center"/>
            <w:hideMark/>
          </w:tcPr>
          <w:p w14:paraId="54B36597" w14:textId="77777777" w:rsidR="00BE3951" w:rsidRPr="00BE3951" w:rsidRDefault="00BE3951" w:rsidP="00BE3951">
            <w:pPr>
              <w:shd w:val="clear" w:color="auto" w:fill="FFFFFF"/>
              <w:spacing w:after="0" w:line="240" w:lineRule="auto"/>
              <w:jc w:val="both"/>
              <w:rPr>
                <w:rFonts w:ascii="Overpass" w:eastAsia="Times New Roman" w:hAnsi="Overpass" w:cs="Calibri"/>
                <w:color w:val="212121"/>
                <w:lang w:eastAsia="it-IT"/>
              </w:rPr>
            </w:pPr>
            <w:r w:rsidRPr="00BE3951">
              <w:rPr>
                <w:rFonts w:ascii="Overpass" w:eastAsia="Times New Roman" w:hAnsi="Overpass" w:cs="Calibri"/>
                <w:color w:val="212121"/>
                <w:lang w:eastAsia="it-IT"/>
              </w:rPr>
              <w:t>Other non-current assets – related parties</w:t>
            </w:r>
          </w:p>
        </w:tc>
        <w:tc>
          <w:tcPr>
            <w:tcW w:w="1860" w:type="dxa"/>
            <w:tcBorders>
              <w:bottom w:val="single" w:sz="8" w:space="0" w:color="000000"/>
            </w:tcBorders>
            <w:vAlign w:val="center"/>
            <w:hideMark/>
          </w:tcPr>
          <w:p w14:paraId="014D3C55"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2,701</w:t>
            </w:r>
          </w:p>
        </w:tc>
        <w:tc>
          <w:tcPr>
            <w:tcW w:w="1377" w:type="dxa"/>
            <w:vAlign w:val="center"/>
            <w:hideMark/>
          </w:tcPr>
          <w:p w14:paraId="0B1040A1"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 </w:t>
            </w:r>
          </w:p>
        </w:tc>
        <w:tc>
          <w:tcPr>
            <w:tcW w:w="1724" w:type="dxa"/>
            <w:tcBorders>
              <w:bottom w:val="single" w:sz="8" w:space="0" w:color="000000"/>
            </w:tcBorders>
            <w:vAlign w:val="center"/>
            <w:hideMark/>
          </w:tcPr>
          <w:p w14:paraId="098C195D"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2,706</w:t>
            </w:r>
          </w:p>
        </w:tc>
      </w:tr>
      <w:tr w:rsidR="00BE3951" w:rsidRPr="00BE3951" w14:paraId="66D9FCBA" w14:textId="77777777" w:rsidTr="00BE3951">
        <w:tc>
          <w:tcPr>
            <w:tcW w:w="4395" w:type="dxa"/>
            <w:vAlign w:val="center"/>
            <w:hideMark/>
          </w:tcPr>
          <w:p w14:paraId="7D5D9915" w14:textId="77777777" w:rsidR="00BE3951" w:rsidRPr="00BE3951" w:rsidRDefault="00BE3951" w:rsidP="00BE3951">
            <w:pPr>
              <w:shd w:val="clear" w:color="auto" w:fill="FFFFFF"/>
              <w:spacing w:after="0" w:line="240" w:lineRule="auto"/>
              <w:jc w:val="both"/>
              <w:rPr>
                <w:rFonts w:ascii="Overpass" w:eastAsia="Times New Roman" w:hAnsi="Overpass" w:cs="Calibri"/>
                <w:color w:val="212121"/>
                <w:lang w:eastAsia="it-IT"/>
              </w:rPr>
            </w:pPr>
            <w:r w:rsidRPr="00BE3951">
              <w:rPr>
                <w:rFonts w:ascii="Overpass" w:eastAsia="Times New Roman" w:hAnsi="Overpass" w:cs="Calibri"/>
                <w:color w:val="212121"/>
                <w:lang w:eastAsia="it-IT"/>
              </w:rPr>
              <w:t> </w:t>
            </w:r>
          </w:p>
        </w:tc>
        <w:tc>
          <w:tcPr>
            <w:tcW w:w="1860" w:type="dxa"/>
            <w:tcBorders>
              <w:top w:val="single" w:sz="8" w:space="0" w:color="000000"/>
            </w:tcBorders>
            <w:vAlign w:val="center"/>
            <w:hideMark/>
          </w:tcPr>
          <w:p w14:paraId="0AC6A448"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 </w:t>
            </w:r>
          </w:p>
        </w:tc>
        <w:tc>
          <w:tcPr>
            <w:tcW w:w="1377" w:type="dxa"/>
            <w:vAlign w:val="center"/>
            <w:hideMark/>
          </w:tcPr>
          <w:p w14:paraId="019915FB"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 </w:t>
            </w:r>
          </w:p>
        </w:tc>
        <w:tc>
          <w:tcPr>
            <w:tcW w:w="1724" w:type="dxa"/>
            <w:tcBorders>
              <w:top w:val="single" w:sz="8" w:space="0" w:color="000000"/>
            </w:tcBorders>
            <w:vAlign w:val="center"/>
            <w:hideMark/>
          </w:tcPr>
          <w:p w14:paraId="68ECFE05"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 </w:t>
            </w:r>
          </w:p>
        </w:tc>
      </w:tr>
      <w:tr w:rsidR="00BE3951" w:rsidRPr="00BE3951" w14:paraId="729D82B0" w14:textId="77777777" w:rsidTr="00BE3951">
        <w:tc>
          <w:tcPr>
            <w:tcW w:w="4395" w:type="dxa"/>
            <w:vAlign w:val="center"/>
            <w:hideMark/>
          </w:tcPr>
          <w:p w14:paraId="53C15AFD" w14:textId="77777777" w:rsidR="00BE3951" w:rsidRPr="00BE3951" w:rsidRDefault="00BE3951" w:rsidP="00BE3951">
            <w:pPr>
              <w:shd w:val="clear" w:color="auto" w:fill="FFFFFF"/>
              <w:spacing w:after="0" w:line="240" w:lineRule="auto"/>
              <w:jc w:val="both"/>
              <w:rPr>
                <w:rFonts w:ascii="Overpass" w:eastAsia="Times New Roman" w:hAnsi="Overpass" w:cs="Calibri"/>
                <w:color w:val="212121"/>
                <w:lang w:eastAsia="it-IT"/>
              </w:rPr>
            </w:pPr>
            <w:r w:rsidRPr="00BE3951">
              <w:rPr>
                <w:rFonts w:ascii="Overpass" w:eastAsia="Times New Roman" w:hAnsi="Overpass" w:cs="Calibri"/>
                <w:b/>
                <w:bCs/>
                <w:color w:val="212121"/>
                <w:lang w:eastAsia="it-IT"/>
              </w:rPr>
              <w:t>Total non-current assets</w:t>
            </w:r>
          </w:p>
        </w:tc>
        <w:tc>
          <w:tcPr>
            <w:tcW w:w="1860" w:type="dxa"/>
            <w:tcBorders>
              <w:bottom w:val="single" w:sz="8" w:space="0" w:color="000000"/>
            </w:tcBorders>
            <w:vAlign w:val="center"/>
            <w:hideMark/>
          </w:tcPr>
          <w:p w14:paraId="3BCC7992"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b/>
                <w:bCs/>
                <w:color w:val="212121"/>
                <w:lang w:eastAsia="it-IT"/>
              </w:rPr>
              <w:t>1,210,776</w:t>
            </w:r>
          </w:p>
        </w:tc>
        <w:tc>
          <w:tcPr>
            <w:tcW w:w="1377" w:type="dxa"/>
            <w:vAlign w:val="center"/>
            <w:hideMark/>
          </w:tcPr>
          <w:p w14:paraId="2E60B1D4"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 </w:t>
            </w:r>
          </w:p>
        </w:tc>
        <w:tc>
          <w:tcPr>
            <w:tcW w:w="1724" w:type="dxa"/>
            <w:tcBorders>
              <w:bottom w:val="single" w:sz="8" w:space="0" w:color="000000"/>
            </w:tcBorders>
            <w:vAlign w:val="center"/>
            <w:hideMark/>
          </w:tcPr>
          <w:p w14:paraId="4E92D90C"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b/>
                <w:bCs/>
                <w:color w:val="212121"/>
                <w:lang w:eastAsia="it-IT"/>
              </w:rPr>
              <w:t>700,966</w:t>
            </w:r>
          </w:p>
        </w:tc>
      </w:tr>
      <w:tr w:rsidR="00BE3951" w:rsidRPr="00BE3951" w14:paraId="173C99DE" w14:textId="77777777" w:rsidTr="00BE3951">
        <w:tc>
          <w:tcPr>
            <w:tcW w:w="4395" w:type="dxa"/>
            <w:vAlign w:val="center"/>
            <w:hideMark/>
          </w:tcPr>
          <w:p w14:paraId="1FAB9845" w14:textId="77777777" w:rsidR="00BE3951" w:rsidRPr="00BE3951" w:rsidRDefault="00BE3951" w:rsidP="00BE3951">
            <w:pPr>
              <w:shd w:val="clear" w:color="auto" w:fill="FFFFFF"/>
              <w:spacing w:after="0" w:line="240" w:lineRule="auto"/>
              <w:jc w:val="both"/>
              <w:rPr>
                <w:rFonts w:ascii="Overpass" w:eastAsia="Times New Roman" w:hAnsi="Overpass" w:cs="Calibri"/>
                <w:color w:val="212121"/>
                <w:lang w:eastAsia="it-IT"/>
              </w:rPr>
            </w:pPr>
            <w:r w:rsidRPr="00BE3951">
              <w:rPr>
                <w:rFonts w:ascii="Overpass" w:eastAsia="Times New Roman" w:hAnsi="Overpass" w:cs="Calibri"/>
                <w:b/>
                <w:bCs/>
                <w:color w:val="212121"/>
                <w:lang w:eastAsia="it-IT"/>
              </w:rPr>
              <w:t> </w:t>
            </w:r>
          </w:p>
        </w:tc>
        <w:tc>
          <w:tcPr>
            <w:tcW w:w="1860" w:type="dxa"/>
            <w:tcBorders>
              <w:top w:val="single" w:sz="8" w:space="0" w:color="000000"/>
            </w:tcBorders>
            <w:vAlign w:val="center"/>
            <w:hideMark/>
          </w:tcPr>
          <w:p w14:paraId="14FD4BFC"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 </w:t>
            </w:r>
          </w:p>
        </w:tc>
        <w:tc>
          <w:tcPr>
            <w:tcW w:w="1377" w:type="dxa"/>
            <w:vAlign w:val="center"/>
            <w:hideMark/>
          </w:tcPr>
          <w:p w14:paraId="5458CFDF"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 </w:t>
            </w:r>
          </w:p>
        </w:tc>
        <w:tc>
          <w:tcPr>
            <w:tcW w:w="1724" w:type="dxa"/>
            <w:tcBorders>
              <w:top w:val="single" w:sz="8" w:space="0" w:color="000000"/>
            </w:tcBorders>
            <w:vAlign w:val="center"/>
            <w:hideMark/>
          </w:tcPr>
          <w:p w14:paraId="6E2B893B"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 </w:t>
            </w:r>
          </w:p>
        </w:tc>
      </w:tr>
      <w:tr w:rsidR="00BE3951" w:rsidRPr="00BE3951" w14:paraId="4685E03D" w14:textId="77777777" w:rsidTr="00BE3951">
        <w:tc>
          <w:tcPr>
            <w:tcW w:w="4395" w:type="dxa"/>
            <w:vAlign w:val="center"/>
            <w:hideMark/>
          </w:tcPr>
          <w:p w14:paraId="0AE78FAD" w14:textId="77777777" w:rsidR="00BE3951" w:rsidRPr="00BE3951" w:rsidRDefault="00BE3951" w:rsidP="00BE3951">
            <w:pPr>
              <w:shd w:val="clear" w:color="auto" w:fill="FFFFFF"/>
              <w:spacing w:after="0" w:line="240" w:lineRule="auto"/>
              <w:jc w:val="both"/>
              <w:rPr>
                <w:rFonts w:ascii="Overpass" w:eastAsia="Times New Roman" w:hAnsi="Overpass" w:cs="Calibri"/>
                <w:color w:val="212121"/>
                <w:lang w:eastAsia="it-IT"/>
              </w:rPr>
            </w:pPr>
            <w:r w:rsidRPr="00BE3951">
              <w:rPr>
                <w:rFonts w:ascii="Overpass" w:eastAsia="Times New Roman" w:hAnsi="Overpass" w:cs="Calibri"/>
                <w:b/>
                <w:bCs/>
                <w:color w:val="212121"/>
                <w:lang w:eastAsia="it-IT"/>
              </w:rPr>
              <w:t>Total assets</w:t>
            </w:r>
          </w:p>
        </w:tc>
        <w:tc>
          <w:tcPr>
            <w:tcW w:w="1860" w:type="dxa"/>
            <w:tcBorders>
              <w:bottom w:val="double" w:sz="6" w:space="0" w:color="000000"/>
            </w:tcBorders>
            <w:vAlign w:val="center"/>
            <w:hideMark/>
          </w:tcPr>
          <w:p w14:paraId="707F91E6"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b/>
                <w:bCs/>
                <w:color w:val="212121"/>
                <w:lang w:eastAsia="it-IT"/>
              </w:rPr>
              <w:t>2,543,497</w:t>
            </w:r>
          </w:p>
        </w:tc>
        <w:tc>
          <w:tcPr>
            <w:tcW w:w="1377" w:type="dxa"/>
            <w:vAlign w:val="center"/>
            <w:hideMark/>
          </w:tcPr>
          <w:p w14:paraId="690D0B47"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 </w:t>
            </w:r>
          </w:p>
        </w:tc>
        <w:tc>
          <w:tcPr>
            <w:tcW w:w="1724" w:type="dxa"/>
            <w:tcBorders>
              <w:bottom w:val="double" w:sz="6" w:space="0" w:color="000000"/>
            </w:tcBorders>
            <w:vAlign w:val="center"/>
            <w:hideMark/>
          </w:tcPr>
          <w:p w14:paraId="3476A432"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b/>
                <w:bCs/>
                <w:color w:val="212121"/>
                <w:lang w:eastAsia="it-IT"/>
              </w:rPr>
              <w:t>1,584,678</w:t>
            </w:r>
          </w:p>
        </w:tc>
      </w:tr>
      <w:tr w:rsidR="00BE3951" w:rsidRPr="00BE3951" w14:paraId="0CC7A5D4" w14:textId="77777777" w:rsidTr="00BE3951">
        <w:tc>
          <w:tcPr>
            <w:tcW w:w="9356" w:type="dxa"/>
            <w:gridSpan w:val="4"/>
            <w:vAlign w:val="center"/>
            <w:hideMark/>
          </w:tcPr>
          <w:p w14:paraId="18F86858" w14:textId="77777777" w:rsidR="00BE3951" w:rsidRPr="00BE3951" w:rsidRDefault="00BE3951" w:rsidP="00BE3951">
            <w:pPr>
              <w:shd w:val="clear" w:color="auto" w:fill="FFFFFF"/>
              <w:spacing w:after="0" w:line="240" w:lineRule="auto"/>
              <w:jc w:val="both"/>
              <w:rPr>
                <w:rFonts w:ascii="Overpass" w:eastAsia="Times New Roman" w:hAnsi="Overpass" w:cs="Calibri"/>
                <w:color w:val="212121"/>
                <w:lang w:eastAsia="it-IT"/>
              </w:rPr>
            </w:pPr>
            <w:r w:rsidRPr="00BE3951">
              <w:rPr>
                <w:rFonts w:ascii="Overpass" w:eastAsia="Times New Roman" w:hAnsi="Overpass" w:cs="Calibri"/>
                <w:color w:val="212121"/>
                <w:lang w:eastAsia="it-IT"/>
              </w:rPr>
              <w:t> </w:t>
            </w:r>
          </w:p>
        </w:tc>
      </w:tr>
    </w:tbl>
    <w:p w14:paraId="300BB491" w14:textId="77777777" w:rsidR="00BE3951" w:rsidRDefault="00BE3951" w:rsidP="00BE3951">
      <w:pPr>
        <w:shd w:val="clear" w:color="auto" w:fill="FFFFFF"/>
        <w:spacing w:after="0" w:line="240" w:lineRule="auto"/>
        <w:rPr>
          <w:rFonts w:ascii="Overpass" w:eastAsia="Times New Roman" w:hAnsi="Overpass" w:cs="Calibri"/>
          <w:b/>
          <w:bCs/>
          <w:color w:val="212121"/>
          <w:lang w:eastAsia="it-IT"/>
        </w:rPr>
      </w:pPr>
    </w:p>
    <w:p w14:paraId="1D9A4D96" w14:textId="7394D712" w:rsidR="00BE3951" w:rsidRPr="00BE3951" w:rsidRDefault="00BE3951" w:rsidP="00BE3951">
      <w:pPr>
        <w:shd w:val="clear" w:color="auto" w:fill="FFFFFF"/>
        <w:spacing w:after="0" w:line="240" w:lineRule="auto"/>
        <w:rPr>
          <w:rFonts w:ascii="Overpass" w:eastAsia="Times New Roman" w:hAnsi="Overpass" w:cs="Calibri"/>
          <w:color w:val="212121"/>
          <w:lang w:eastAsia="it-IT"/>
        </w:rPr>
      </w:pPr>
      <w:r w:rsidRPr="00BE3951">
        <w:rPr>
          <w:rFonts w:ascii="Overpass" w:eastAsia="Times New Roman" w:hAnsi="Overpass" w:cs="Calibri"/>
          <w:b/>
          <w:bCs/>
          <w:color w:val="212121"/>
          <w:lang w:eastAsia="it-IT"/>
        </w:rPr>
        <w:t>Lotus Technology Inc.</w:t>
      </w:r>
      <w:r w:rsidRPr="00BE3951">
        <w:rPr>
          <w:rFonts w:ascii="Overpass" w:eastAsia="Times New Roman" w:hAnsi="Overpass" w:cs="Calibri"/>
          <w:color w:val="212121"/>
          <w:lang w:eastAsia="it-IT"/>
        </w:rPr>
        <w:br/>
      </w:r>
      <w:r w:rsidRPr="00BE3951">
        <w:rPr>
          <w:rFonts w:ascii="Overpass" w:eastAsia="Times New Roman" w:hAnsi="Overpass" w:cs="Calibri"/>
          <w:b/>
          <w:bCs/>
          <w:color w:val="212121"/>
          <w:lang w:eastAsia="it-IT"/>
        </w:rPr>
        <w:t>Unaudited Consolidated Balance Sheets (cont’d)</w:t>
      </w:r>
    </w:p>
    <w:p w14:paraId="439F259F" w14:textId="77777777" w:rsidR="00BE3951" w:rsidRDefault="00BE3951" w:rsidP="00BE3951">
      <w:pPr>
        <w:shd w:val="clear" w:color="auto" w:fill="FFFFFF"/>
        <w:spacing w:after="0" w:line="240" w:lineRule="auto"/>
        <w:rPr>
          <w:rFonts w:ascii="Overpass" w:eastAsia="Times New Roman" w:hAnsi="Overpass" w:cs="Calibri"/>
          <w:color w:val="212121"/>
          <w:lang w:eastAsia="it-IT"/>
        </w:rPr>
      </w:pPr>
      <w:r w:rsidRPr="00BE3951">
        <w:rPr>
          <w:rFonts w:ascii="Overpass" w:eastAsia="Times New Roman" w:hAnsi="Overpass" w:cs="Calibri"/>
          <w:color w:val="212121"/>
          <w:lang w:eastAsia="it-IT"/>
        </w:rPr>
        <w:t>(All amounts in thousands)</w:t>
      </w:r>
    </w:p>
    <w:p w14:paraId="50B05D09" w14:textId="77777777" w:rsidR="00BE3951" w:rsidRPr="00BE3951" w:rsidRDefault="00BE3951" w:rsidP="00BE3951">
      <w:pPr>
        <w:shd w:val="clear" w:color="auto" w:fill="FFFFFF"/>
        <w:spacing w:after="0" w:line="240" w:lineRule="auto"/>
        <w:jc w:val="both"/>
        <w:rPr>
          <w:rFonts w:ascii="Overpass" w:eastAsia="Times New Roman" w:hAnsi="Overpass" w:cs="Calibri"/>
          <w:color w:val="212121"/>
          <w:lang w:eastAsia="it-IT"/>
        </w:rPr>
      </w:pPr>
    </w:p>
    <w:tbl>
      <w:tblPr>
        <w:tblW w:w="9072" w:type="dxa"/>
        <w:tblLayout w:type="fixed"/>
        <w:tblCellMar>
          <w:top w:w="15" w:type="dxa"/>
          <w:left w:w="15" w:type="dxa"/>
          <w:bottom w:w="15" w:type="dxa"/>
          <w:right w:w="15" w:type="dxa"/>
        </w:tblCellMar>
        <w:tblLook w:val="04A0" w:firstRow="1" w:lastRow="0" w:firstColumn="1" w:lastColumn="0" w:noHBand="0" w:noVBand="1"/>
      </w:tblPr>
      <w:tblGrid>
        <w:gridCol w:w="4536"/>
        <w:gridCol w:w="1842"/>
        <w:gridCol w:w="53"/>
        <w:gridCol w:w="2641"/>
      </w:tblGrid>
      <w:tr w:rsidR="00BE3951" w:rsidRPr="00BE3951" w14:paraId="01C51ACC" w14:textId="77777777" w:rsidTr="006E0488">
        <w:tc>
          <w:tcPr>
            <w:tcW w:w="4536" w:type="dxa"/>
            <w:vAlign w:val="bottom"/>
            <w:hideMark/>
          </w:tcPr>
          <w:p w14:paraId="4B730C18" w14:textId="77777777" w:rsidR="00BE3951" w:rsidRPr="00BE3951" w:rsidRDefault="00BE3951" w:rsidP="00BE3951">
            <w:pPr>
              <w:shd w:val="clear" w:color="auto" w:fill="FFFFFF"/>
              <w:spacing w:after="0" w:line="240" w:lineRule="auto"/>
              <w:jc w:val="both"/>
              <w:rPr>
                <w:rFonts w:ascii="Overpass" w:eastAsia="Times New Roman" w:hAnsi="Overpass" w:cs="Calibri"/>
                <w:color w:val="212121"/>
                <w:lang w:eastAsia="it-IT"/>
              </w:rPr>
            </w:pPr>
            <w:r w:rsidRPr="00BE3951">
              <w:rPr>
                <w:rFonts w:ascii="Overpass" w:eastAsia="Times New Roman" w:hAnsi="Overpass" w:cs="Calibri"/>
                <w:color w:val="212121"/>
                <w:lang w:eastAsia="it-IT"/>
              </w:rPr>
              <w:t> </w:t>
            </w:r>
          </w:p>
        </w:tc>
        <w:tc>
          <w:tcPr>
            <w:tcW w:w="4536" w:type="dxa"/>
            <w:gridSpan w:val="3"/>
            <w:vAlign w:val="bottom"/>
            <w:hideMark/>
          </w:tcPr>
          <w:p w14:paraId="17A3CB90" w14:textId="77777777" w:rsidR="00BE3951" w:rsidRPr="00BE3951" w:rsidRDefault="00BE3951" w:rsidP="006E0488">
            <w:pPr>
              <w:shd w:val="clear" w:color="auto" w:fill="FFFFFF"/>
              <w:spacing w:after="0" w:line="240" w:lineRule="auto"/>
              <w:jc w:val="center"/>
              <w:rPr>
                <w:rFonts w:ascii="Overpass" w:eastAsia="Times New Roman" w:hAnsi="Overpass" w:cs="Calibri"/>
                <w:color w:val="212121"/>
                <w:lang w:eastAsia="it-IT"/>
              </w:rPr>
            </w:pPr>
            <w:r w:rsidRPr="00BE3951">
              <w:rPr>
                <w:rFonts w:ascii="Overpass" w:eastAsia="Times New Roman" w:hAnsi="Overpass" w:cs="Calibri"/>
                <w:b/>
                <w:bCs/>
                <w:color w:val="212121"/>
                <w:lang w:eastAsia="it-IT"/>
              </w:rPr>
              <w:t>As of</w:t>
            </w:r>
          </w:p>
        </w:tc>
      </w:tr>
      <w:tr w:rsidR="00BE3951" w:rsidRPr="00BE3951" w14:paraId="51879DA8" w14:textId="77777777" w:rsidTr="00BE3951">
        <w:tc>
          <w:tcPr>
            <w:tcW w:w="4536" w:type="dxa"/>
            <w:vAlign w:val="bottom"/>
            <w:hideMark/>
          </w:tcPr>
          <w:p w14:paraId="01A1C287" w14:textId="77777777" w:rsidR="00BE3951" w:rsidRPr="00BE3951" w:rsidRDefault="00BE3951" w:rsidP="00BE3951">
            <w:pPr>
              <w:shd w:val="clear" w:color="auto" w:fill="FFFFFF"/>
              <w:spacing w:after="0" w:line="240" w:lineRule="auto"/>
              <w:jc w:val="both"/>
              <w:rPr>
                <w:rFonts w:ascii="Overpass" w:eastAsia="Times New Roman" w:hAnsi="Overpass" w:cs="Calibri"/>
                <w:color w:val="212121"/>
                <w:lang w:eastAsia="it-IT"/>
              </w:rPr>
            </w:pPr>
            <w:r w:rsidRPr="00BE3951">
              <w:rPr>
                <w:rFonts w:ascii="Overpass" w:eastAsia="Times New Roman" w:hAnsi="Overpass" w:cs="Calibri"/>
                <w:color w:val="212121"/>
                <w:lang w:eastAsia="it-IT"/>
              </w:rPr>
              <w:t> </w:t>
            </w:r>
          </w:p>
        </w:tc>
        <w:tc>
          <w:tcPr>
            <w:tcW w:w="1842" w:type="dxa"/>
            <w:vAlign w:val="bottom"/>
            <w:hideMark/>
          </w:tcPr>
          <w:p w14:paraId="35B07449"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b/>
                <w:bCs/>
                <w:color w:val="212121"/>
                <w:lang w:eastAsia="it-IT"/>
              </w:rPr>
              <w:t>Mar 31, 2024</w:t>
            </w:r>
          </w:p>
        </w:tc>
        <w:tc>
          <w:tcPr>
            <w:tcW w:w="53" w:type="dxa"/>
            <w:vAlign w:val="bottom"/>
            <w:hideMark/>
          </w:tcPr>
          <w:p w14:paraId="4D69EAAE"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 </w:t>
            </w:r>
          </w:p>
        </w:tc>
        <w:tc>
          <w:tcPr>
            <w:tcW w:w="2641" w:type="dxa"/>
            <w:vAlign w:val="bottom"/>
            <w:hideMark/>
          </w:tcPr>
          <w:p w14:paraId="735CFDF5"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b/>
                <w:bCs/>
                <w:color w:val="212121"/>
                <w:lang w:eastAsia="it-IT"/>
              </w:rPr>
              <w:t>Dec 31, 2023</w:t>
            </w:r>
          </w:p>
        </w:tc>
      </w:tr>
      <w:tr w:rsidR="00BE3951" w:rsidRPr="00BE3951" w14:paraId="33A4269F" w14:textId="77777777" w:rsidTr="00BE3951">
        <w:tc>
          <w:tcPr>
            <w:tcW w:w="4536" w:type="dxa"/>
            <w:vAlign w:val="bottom"/>
            <w:hideMark/>
          </w:tcPr>
          <w:p w14:paraId="5AB82765" w14:textId="77777777" w:rsidR="00BE3951" w:rsidRPr="00BE3951" w:rsidRDefault="00BE3951" w:rsidP="00BE3951">
            <w:pPr>
              <w:shd w:val="clear" w:color="auto" w:fill="FFFFFF"/>
              <w:spacing w:after="0" w:line="240" w:lineRule="auto"/>
              <w:jc w:val="both"/>
              <w:rPr>
                <w:rFonts w:ascii="Overpass" w:eastAsia="Times New Roman" w:hAnsi="Overpass" w:cs="Calibri"/>
                <w:color w:val="212121"/>
                <w:lang w:eastAsia="it-IT"/>
              </w:rPr>
            </w:pPr>
            <w:r w:rsidRPr="00BE3951">
              <w:rPr>
                <w:rFonts w:ascii="Overpass" w:eastAsia="Times New Roman" w:hAnsi="Overpass" w:cs="Calibri"/>
                <w:color w:val="212121"/>
                <w:lang w:eastAsia="it-IT"/>
              </w:rPr>
              <w:t> </w:t>
            </w:r>
          </w:p>
        </w:tc>
        <w:tc>
          <w:tcPr>
            <w:tcW w:w="1842" w:type="dxa"/>
            <w:vAlign w:val="bottom"/>
            <w:hideMark/>
          </w:tcPr>
          <w:p w14:paraId="65CC4713"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b/>
                <w:bCs/>
                <w:i/>
                <w:iCs/>
                <w:color w:val="212121"/>
                <w:lang w:eastAsia="it-IT"/>
              </w:rPr>
              <w:t>US$</w:t>
            </w:r>
          </w:p>
        </w:tc>
        <w:tc>
          <w:tcPr>
            <w:tcW w:w="53" w:type="dxa"/>
            <w:vAlign w:val="bottom"/>
            <w:hideMark/>
          </w:tcPr>
          <w:p w14:paraId="68CF87A1"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 </w:t>
            </w:r>
          </w:p>
        </w:tc>
        <w:tc>
          <w:tcPr>
            <w:tcW w:w="2641" w:type="dxa"/>
            <w:vAlign w:val="bottom"/>
            <w:hideMark/>
          </w:tcPr>
          <w:p w14:paraId="7C93229F"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b/>
                <w:bCs/>
                <w:i/>
                <w:iCs/>
                <w:color w:val="212121"/>
                <w:lang w:eastAsia="it-IT"/>
              </w:rPr>
              <w:t>US$</w:t>
            </w:r>
          </w:p>
        </w:tc>
      </w:tr>
      <w:tr w:rsidR="00BE3951" w:rsidRPr="00BE3951" w14:paraId="027C0116" w14:textId="77777777" w:rsidTr="00BE3951">
        <w:tc>
          <w:tcPr>
            <w:tcW w:w="4536" w:type="dxa"/>
            <w:vAlign w:val="bottom"/>
            <w:hideMark/>
          </w:tcPr>
          <w:p w14:paraId="3B6A7B27" w14:textId="77777777" w:rsidR="00BE3951" w:rsidRPr="00BE3951" w:rsidRDefault="00BE3951" w:rsidP="00BE3951">
            <w:pPr>
              <w:shd w:val="clear" w:color="auto" w:fill="FFFFFF"/>
              <w:spacing w:after="0" w:line="240" w:lineRule="auto"/>
              <w:jc w:val="both"/>
              <w:rPr>
                <w:rFonts w:ascii="Overpass" w:eastAsia="Times New Roman" w:hAnsi="Overpass" w:cs="Calibri"/>
                <w:color w:val="212121"/>
                <w:lang w:eastAsia="it-IT"/>
              </w:rPr>
            </w:pPr>
            <w:r w:rsidRPr="00BE3951">
              <w:rPr>
                <w:rFonts w:ascii="Overpass" w:eastAsia="Times New Roman" w:hAnsi="Overpass" w:cs="Calibri"/>
                <w:b/>
                <w:bCs/>
                <w:color w:val="212121"/>
                <w:lang w:eastAsia="it-IT"/>
              </w:rPr>
              <w:t>LIABILITIES, MEZZANINE EQUITY AND SHAREHOLDERS’ EQUITY (DEFICIT)</w:t>
            </w:r>
          </w:p>
        </w:tc>
        <w:tc>
          <w:tcPr>
            <w:tcW w:w="1842" w:type="dxa"/>
            <w:vAlign w:val="bottom"/>
            <w:hideMark/>
          </w:tcPr>
          <w:p w14:paraId="7F035564"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 </w:t>
            </w:r>
          </w:p>
        </w:tc>
        <w:tc>
          <w:tcPr>
            <w:tcW w:w="53" w:type="dxa"/>
            <w:vAlign w:val="bottom"/>
            <w:hideMark/>
          </w:tcPr>
          <w:p w14:paraId="3DEFCF72"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 </w:t>
            </w:r>
          </w:p>
        </w:tc>
        <w:tc>
          <w:tcPr>
            <w:tcW w:w="2641" w:type="dxa"/>
            <w:vAlign w:val="bottom"/>
            <w:hideMark/>
          </w:tcPr>
          <w:p w14:paraId="33F61478"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 </w:t>
            </w:r>
          </w:p>
        </w:tc>
      </w:tr>
      <w:tr w:rsidR="00BE3951" w:rsidRPr="00BE3951" w14:paraId="19FD109C" w14:textId="77777777" w:rsidTr="00BE3951">
        <w:tc>
          <w:tcPr>
            <w:tcW w:w="4536" w:type="dxa"/>
            <w:vAlign w:val="bottom"/>
            <w:hideMark/>
          </w:tcPr>
          <w:p w14:paraId="6A425306" w14:textId="77777777" w:rsidR="00BE3951" w:rsidRPr="00BE3951" w:rsidRDefault="00BE3951" w:rsidP="00BE3951">
            <w:pPr>
              <w:shd w:val="clear" w:color="auto" w:fill="FFFFFF"/>
              <w:spacing w:after="0" w:line="240" w:lineRule="auto"/>
              <w:jc w:val="both"/>
              <w:rPr>
                <w:rFonts w:ascii="Overpass" w:eastAsia="Times New Roman" w:hAnsi="Overpass" w:cs="Calibri"/>
                <w:color w:val="212121"/>
                <w:lang w:eastAsia="it-IT"/>
              </w:rPr>
            </w:pPr>
            <w:r w:rsidRPr="00BE3951">
              <w:rPr>
                <w:rFonts w:ascii="Overpass" w:eastAsia="Times New Roman" w:hAnsi="Overpass" w:cs="Calibri"/>
                <w:b/>
                <w:bCs/>
                <w:color w:val="212121"/>
                <w:lang w:eastAsia="it-IT"/>
              </w:rPr>
              <w:t>Current liabilities</w:t>
            </w:r>
          </w:p>
        </w:tc>
        <w:tc>
          <w:tcPr>
            <w:tcW w:w="1842" w:type="dxa"/>
            <w:vAlign w:val="bottom"/>
            <w:hideMark/>
          </w:tcPr>
          <w:p w14:paraId="0D780991"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 </w:t>
            </w:r>
          </w:p>
        </w:tc>
        <w:tc>
          <w:tcPr>
            <w:tcW w:w="53" w:type="dxa"/>
            <w:vAlign w:val="bottom"/>
            <w:hideMark/>
          </w:tcPr>
          <w:p w14:paraId="5113B7DF"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 </w:t>
            </w:r>
          </w:p>
        </w:tc>
        <w:tc>
          <w:tcPr>
            <w:tcW w:w="2641" w:type="dxa"/>
            <w:vAlign w:val="bottom"/>
            <w:hideMark/>
          </w:tcPr>
          <w:p w14:paraId="7C81C8B0"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 </w:t>
            </w:r>
          </w:p>
        </w:tc>
      </w:tr>
      <w:tr w:rsidR="00BE3951" w:rsidRPr="00BE3951" w14:paraId="60328239" w14:textId="77777777" w:rsidTr="00BE3951">
        <w:tc>
          <w:tcPr>
            <w:tcW w:w="4536" w:type="dxa"/>
            <w:vAlign w:val="bottom"/>
            <w:hideMark/>
          </w:tcPr>
          <w:p w14:paraId="1C72F023" w14:textId="77777777" w:rsidR="00BE3951" w:rsidRPr="00BE3951" w:rsidRDefault="00BE3951" w:rsidP="00BE3951">
            <w:pPr>
              <w:shd w:val="clear" w:color="auto" w:fill="FFFFFF"/>
              <w:spacing w:after="0" w:line="240" w:lineRule="auto"/>
              <w:jc w:val="both"/>
              <w:rPr>
                <w:rFonts w:ascii="Overpass" w:eastAsia="Times New Roman" w:hAnsi="Overpass" w:cs="Calibri"/>
                <w:color w:val="212121"/>
                <w:lang w:eastAsia="it-IT"/>
              </w:rPr>
            </w:pPr>
            <w:r w:rsidRPr="00BE3951">
              <w:rPr>
                <w:rFonts w:ascii="Overpass" w:eastAsia="Times New Roman" w:hAnsi="Overpass" w:cs="Calibri"/>
                <w:color w:val="212121"/>
                <w:lang w:eastAsia="it-IT"/>
              </w:rPr>
              <w:lastRenderedPageBreak/>
              <w:t>Short-term borrowings – third parties</w:t>
            </w:r>
          </w:p>
        </w:tc>
        <w:tc>
          <w:tcPr>
            <w:tcW w:w="1842" w:type="dxa"/>
            <w:vAlign w:val="bottom"/>
            <w:hideMark/>
          </w:tcPr>
          <w:p w14:paraId="007342CA"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462,801</w:t>
            </w:r>
          </w:p>
        </w:tc>
        <w:tc>
          <w:tcPr>
            <w:tcW w:w="53" w:type="dxa"/>
            <w:vAlign w:val="bottom"/>
            <w:hideMark/>
          </w:tcPr>
          <w:p w14:paraId="60D5EB37"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 </w:t>
            </w:r>
          </w:p>
        </w:tc>
        <w:tc>
          <w:tcPr>
            <w:tcW w:w="2641" w:type="dxa"/>
            <w:vAlign w:val="bottom"/>
            <w:hideMark/>
          </w:tcPr>
          <w:p w14:paraId="09AD80CA"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226,772</w:t>
            </w:r>
          </w:p>
        </w:tc>
      </w:tr>
      <w:tr w:rsidR="00BE3951" w:rsidRPr="00BE3951" w14:paraId="5850F3DA" w14:textId="77777777" w:rsidTr="00BE3951">
        <w:tc>
          <w:tcPr>
            <w:tcW w:w="4536" w:type="dxa"/>
            <w:vAlign w:val="bottom"/>
            <w:hideMark/>
          </w:tcPr>
          <w:p w14:paraId="0CBAB16E" w14:textId="77777777" w:rsidR="00BE3951" w:rsidRPr="00BE3951" w:rsidRDefault="00BE3951" w:rsidP="00BE3951">
            <w:pPr>
              <w:shd w:val="clear" w:color="auto" w:fill="FFFFFF"/>
              <w:spacing w:after="0" w:line="240" w:lineRule="auto"/>
              <w:jc w:val="both"/>
              <w:rPr>
                <w:rFonts w:ascii="Overpass" w:eastAsia="Times New Roman" w:hAnsi="Overpass" w:cs="Calibri"/>
                <w:color w:val="212121"/>
                <w:lang w:eastAsia="it-IT"/>
              </w:rPr>
            </w:pPr>
            <w:r w:rsidRPr="00BE3951">
              <w:rPr>
                <w:rFonts w:ascii="Overpass" w:eastAsia="Times New Roman" w:hAnsi="Overpass" w:cs="Calibri"/>
                <w:color w:val="212121"/>
                <w:lang w:eastAsia="it-IT"/>
              </w:rPr>
              <w:t>Accounts payable – third parties</w:t>
            </w:r>
          </w:p>
        </w:tc>
        <w:tc>
          <w:tcPr>
            <w:tcW w:w="1842" w:type="dxa"/>
            <w:vAlign w:val="bottom"/>
            <w:hideMark/>
          </w:tcPr>
          <w:p w14:paraId="713591F0"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50,418</w:t>
            </w:r>
          </w:p>
        </w:tc>
        <w:tc>
          <w:tcPr>
            <w:tcW w:w="53" w:type="dxa"/>
            <w:vAlign w:val="bottom"/>
            <w:hideMark/>
          </w:tcPr>
          <w:p w14:paraId="2F2CA13F"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 </w:t>
            </w:r>
          </w:p>
        </w:tc>
        <w:tc>
          <w:tcPr>
            <w:tcW w:w="2641" w:type="dxa"/>
            <w:vAlign w:val="bottom"/>
            <w:hideMark/>
          </w:tcPr>
          <w:p w14:paraId="5E32A781"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20,123</w:t>
            </w:r>
          </w:p>
        </w:tc>
      </w:tr>
      <w:tr w:rsidR="00BE3951" w:rsidRPr="00BE3951" w14:paraId="5FD6E6FE" w14:textId="77777777" w:rsidTr="00BE3951">
        <w:tc>
          <w:tcPr>
            <w:tcW w:w="4536" w:type="dxa"/>
            <w:vAlign w:val="bottom"/>
            <w:hideMark/>
          </w:tcPr>
          <w:p w14:paraId="34A7D2EE" w14:textId="77777777" w:rsidR="00BE3951" w:rsidRPr="00BE3951" w:rsidRDefault="00BE3951" w:rsidP="00BE3951">
            <w:pPr>
              <w:shd w:val="clear" w:color="auto" w:fill="FFFFFF"/>
              <w:spacing w:after="0" w:line="240" w:lineRule="auto"/>
              <w:jc w:val="both"/>
              <w:rPr>
                <w:rFonts w:ascii="Overpass" w:eastAsia="Times New Roman" w:hAnsi="Overpass" w:cs="Calibri"/>
                <w:color w:val="212121"/>
                <w:lang w:eastAsia="it-IT"/>
              </w:rPr>
            </w:pPr>
            <w:r w:rsidRPr="00BE3951">
              <w:rPr>
                <w:rFonts w:ascii="Overpass" w:eastAsia="Times New Roman" w:hAnsi="Overpass" w:cs="Calibri"/>
                <w:color w:val="212121"/>
                <w:lang w:eastAsia="it-IT"/>
              </w:rPr>
              <w:t>Accounts payable – related parties</w:t>
            </w:r>
          </w:p>
        </w:tc>
        <w:tc>
          <w:tcPr>
            <w:tcW w:w="1842" w:type="dxa"/>
            <w:vAlign w:val="bottom"/>
            <w:hideMark/>
          </w:tcPr>
          <w:p w14:paraId="2553BB0C"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394,185</w:t>
            </w:r>
          </w:p>
        </w:tc>
        <w:tc>
          <w:tcPr>
            <w:tcW w:w="53" w:type="dxa"/>
            <w:vAlign w:val="bottom"/>
            <w:hideMark/>
          </w:tcPr>
          <w:p w14:paraId="183B72E2"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 </w:t>
            </w:r>
          </w:p>
        </w:tc>
        <w:tc>
          <w:tcPr>
            <w:tcW w:w="2641" w:type="dxa"/>
            <w:vAlign w:val="bottom"/>
            <w:hideMark/>
          </w:tcPr>
          <w:p w14:paraId="3BB3126E"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340,419</w:t>
            </w:r>
          </w:p>
        </w:tc>
      </w:tr>
      <w:tr w:rsidR="00BE3951" w:rsidRPr="00BE3951" w14:paraId="3452C8CF" w14:textId="77777777" w:rsidTr="00BE3951">
        <w:tc>
          <w:tcPr>
            <w:tcW w:w="4536" w:type="dxa"/>
            <w:vAlign w:val="bottom"/>
            <w:hideMark/>
          </w:tcPr>
          <w:p w14:paraId="526880BA" w14:textId="77777777" w:rsidR="00BE3951" w:rsidRPr="00BE3951" w:rsidRDefault="00BE3951" w:rsidP="00BE3951">
            <w:pPr>
              <w:shd w:val="clear" w:color="auto" w:fill="FFFFFF"/>
              <w:spacing w:after="0" w:line="240" w:lineRule="auto"/>
              <w:jc w:val="both"/>
              <w:rPr>
                <w:rFonts w:ascii="Overpass" w:eastAsia="Times New Roman" w:hAnsi="Overpass" w:cs="Calibri"/>
                <w:color w:val="212121"/>
                <w:lang w:eastAsia="it-IT"/>
              </w:rPr>
            </w:pPr>
            <w:r w:rsidRPr="00BE3951">
              <w:rPr>
                <w:rFonts w:ascii="Overpass" w:eastAsia="Times New Roman" w:hAnsi="Overpass" w:cs="Calibri"/>
                <w:color w:val="212121"/>
                <w:lang w:eastAsia="it-IT"/>
              </w:rPr>
              <w:t>Contract liabilities – third parties</w:t>
            </w:r>
          </w:p>
        </w:tc>
        <w:tc>
          <w:tcPr>
            <w:tcW w:w="1842" w:type="dxa"/>
            <w:vAlign w:val="bottom"/>
            <w:hideMark/>
          </w:tcPr>
          <w:p w14:paraId="0E1F5357"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62,118</w:t>
            </w:r>
          </w:p>
        </w:tc>
        <w:tc>
          <w:tcPr>
            <w:tcW w:w="53" w:type="dxa"/>
            <w:vAlign w:val="bottom"/>
            <w:hideMark/>
          </w:tcPr>
          <w:p w14:paraId="62CCD611"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 </w:t>
            </w:r>
          </w:p>
        </w:tc>
        <w:tc>
          <w:tcPr>
            <w:tcW w:w="2641" w:type="dxa"/>
            <w:vAlign w:val="bottom"/>
            <w:hideMark/>
          </w:tcPr>
          <w:p w14:paraId="673D437C"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44,184</w:t>
            </w:r>
          </w:p>
        </w:tc>
      </w:tr>
      <w:tr w:rsidR="00BE3951" w:rsidRPr="00BE3951" w14:paraId="422E0D82" w14:textId="77777777" w:rsidTr="00BE3951">
        <w:tc>
          <w:tcPr>
            <w:tcW w:w="4536" w:type="dxa"/>
            <w:vAlign w:val="bottom"/>
            <w:hideMark/>
          </w:tcPr>
          <w:p w14:paraId="66EE8217" w14:textId="77777777" w:rsidR="00BE3951" w:rsidRPr="00BE3951" w:rsidRDefault="00BE3951" w:rsidP="00BE3951">
            <w:pPr>
              <w:shd w:val="clear" w:color="auto" w:fill="FFFFFF"/>
              <w:spacing w:after="0" w:line="240" w:lineRule="auto"/>
              <w:jc w:val="both"/>
              <w:rPr>
                <w:rFonts w:ascii="Overpass" w:eastAsia="Times New Roman" w:hAnsi="Overpass" w:cs="Calibri"/>
                <w:color w:val="212121"/>
                <w:lang w:eastAsia="it-IT"/>
              </w:rPr>
            </w:pPr>
            <w:r w:rsidRPr="00BE3951">
              <w:rPr>
                <w:rFonts w:ascii="Overpass" w:eastAsia="Times New Roman" w:hAnsi="Overpass" w:cs="Calibri"/>
                <w:color w:val="212121"/>
                <w:lang w:eastAsia="it-IT"/>
              </w:rPr>
              <w:t>Contract liabilities – related parties</w:t>
            </w:r>
          </w:p>
        </w:tc>
        <w:tc>
          <w:tcPr>
            <w:tcW w:w="1842" w:type="dxa"/>
            <w:vAlign w:val="bottom"/>
            <w:hideMark/>
          </w:tcPr>
          <w:p w14:paraId="6701A4D7"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227</w:t>
            </w:r>
          </w:p>
        </w:tc>
        <w:tc>
          <w:tcPr>
            <w:tcW w:w="53" w:type="dxa"/>
            <w:vAlign w:val="bottom"/>
            <w:hideMark/>
          </w:tcPr>
          <w:p w14:paraId="451DA8F1"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 </w:t>
            </w:r>
          </w:p>
        </w:tc>
        <w:tc>
          <w:tcPr>
            <w:tcW w:w="2641" w:type="dxa"/>
            <w:vAlign w:val="bottom"/>
            <w:hideMark/>
          </w:tcPr>
          <w:p w14:paraId="1DE7016A"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w:t>
            </w:r>
          </w:p>
        </w:tc>
      </w:tr>
      <w:tr w:rsidR="00BE3951" w:rsidRPr="00BE3951" w14:paraId="0F50C6F2" w14:textId="77777777" w:rsidTr="00BE3951">
        <w:tc>
          <w:tcPr>
            <w:tcW w:w="4536" w:type="dxa"/>
            <w:vAlign w:val="bottom"/>
            <w:hideMark/>
          </w:tcPr>
          <w:p w14:paraId="7BC9116F" w14:textId="77777777" w:rsidR="00BE3951" w:rsidRPr="00BE3951" w:rsidRDefault="00BE3951" w:rsidP="00BE3951">
            <w:pPr>
              <w:shd w:val="clear" w:color="auto" w:fill="FFFFFF"/>
              <w:spacing w:after="0" w:line="240" w:lineRule="auto"/>
              <w:jc w:val="both"/>
              <w:rPr>
                <w:rFonts w:ascii="Overpass" w:eastAsia="Times New Roman" w:hAnsi="Overpass" w:cs="Calibri"/>
                <w:color w:val="212121"/>
                <w:lang w:eastAsia="it-IT"/>
              </w:rPr>
            </w:pPr>
            <w:r w:rsidRPr="00BE3951">
              <w:rPr>
                <w:rFonts w:ascii="Overpass" w:eastAsia="Times New Roman" w:hAnsi="Overpass" w:cs="Calibri"/>
                <w:color w:val="212121"/>
                <w:lang w:eastAsia="it-IT"/>
              </w:rPr>
              <w:t>Operating lease liabilities – third parties</w:t>
            </w:r>
          </w:p>
        </w:tc>
        <w:tc>
          <w:tcPr>
            <w:tcW w:w="1842" w:type="dxa"/>
            <w:vAlign w:val="bottom"/>
            <w:hideMark/>
          </w:tcPr>
          <w:p w14:paraId="6BAECE07"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16,186</w:t>
            </w:r>
          </w:p>
        </w:tc>
        <w:tc>
          <w:tcPr>
            <w:tcW w:w="53" w:type="dxa"/>
            <w:vAlign w:val="bottom"/>
            <w:hideMark/>
          </w:tcPr>
          <w:p w14:paraId="2C22C261"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 </w:t>
            </w:r>
          </w:p>
        </w:tc>
        <w:tc>
          <w:tcPr>
            <w:tcW w:w="2641" w:type="dxa"/>
            <w:vAlign w:val="bottom"/>
            <w:hideMark/>
          </w:tcPr>
          <w:p w14:paraId="4C87C300"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16,760</w:t>
            </w:r>
          </w:p>
        </w:tc>
      </w:tr>
      <w:tr w:rsidR="00BE3951" w:rsidRPr="00BE3951" w14:paraId="03E6A974" w14:textId="77777777" w:rsidTr="00BE3951">
        <w:tc>
          <w:tcPr>
            <w:tcW w:w="4536" w:type="dxa"/>
            <w:vAlign w:val="bottom"/>
            <w:hideMark/>
          </w:tcPr>
          <w:p w14:paraId="28ECF3A1" w14:textId="77777777" w:rsidR="00BE3951" w:rsidRPr="00BE3951" w:rsidRDefault="00BE3951" w:rsidP="00BE3951">
            <w:pPr>
              <w:shd w:val="clear" w:color="auto" w:fill="FFFFFF"/>
              <w:spacing w:after="0" w:line="240" w:lineRule="auto"/>
              <w:jc w:val="both"/>
              <w:rPr>
                <w:rFonts w:ascii="Overpass" w:eastAsia="Times New Roman" w:hAnsi="Overpass" w:cs="Calibri"/>
                <w:color w:val="212121"/>
                <w:lang w:eastAsia="it-IT"/>
              </w:rPr>
            </w:pPr>
            <w:r w:rsidRPr="00BE3951">
              <w:rPr>
                <w:rFonts w:ascii="Overpass" w:eastAsia="Times New Roman" w:hAnsi="Overpass" w:cs="Calibri"/>
                <w:color w:val="212121"/>
                <w:lang w:eastAsia="it-IT"/>
              </w:rPr>
              <w:t>Accrued expenses and other current liabilities – third parties</w:t>
            </w:r>
          </w:p>
        </w:tc>
        <w:tc>
          <w:tcPr>
            <w:tcW w:w="1842" w:type="dxa"/>
            <w:vAlign w:val="bottom"/>
            <w:hideMark/>
          </w:tcPr>
          <w:p w14:paraId="254B266E"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412,910</w:t>
            </w:r>
          </w:p>
        </w:tc>
        <w:tc>
          <w:tcPr>
            <w:tcW w:w="53" w:type="dxa"/>
            <w:vAlign w:val="bottom"/>
            <w:hideMark/>
          </w:tcPr>
          <w:p w14:paraId="4F0E139D"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 </w:t>
            </w:r>
          </w:p>
        </w:tc>
        <w:tc>
          <w:tcPr>
            <w:tcW w:w="2641" w:type="dxa"/>
            <w:vAlign w:val="bottom"/>
            <w:hideMark/>
          </w:tcPr>
          <w:p w14:paraId="6A135D14"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419,422</w:t>
            </w:r>
          </w:p>
        </w:tc>
      </w:tr>
      <w:tr w:rsidR="00BE3951" w:rsidRPr="00BE3951" w14:paraId="196B78D6" w14:textId="77777777" w:rsidTr="00BE3951">
        <w:tc>
          <w:tcPr>
            <w:tcW w:w="4536" w:type="dxa"/>
            <w:vAlign w:val="bottom"/>
            <w:hideMark/>
          </w:tcPr>
          <w:p w14:paraId="42FF6ACF" w14:textId="77777777" w:rsidR="00BE3951" w:rsidRPr="00BE3951" w:rsidRDefault="00BE3951" w:rsidP="00BE3951">
            <w:pPr>
              <w:shd w:val="clear" w:color="auto" w:fill="FFFFFF"/>
              <w:spacing w:after="0" w:line="240" w:lineRule="auto"/>
              <w:jc w:val="both"/>
              <w:rPr>
                <w:rFonts w:ascii="Overpass" w:eastAsia="Times New Roman" w:hAnsi="Overpass" w:cs="Calibri"/>
                <w:color w:val="212121"/>
                <w:lang w:eastAsia="it-IT"/>
              </w:rPr>
            </w:pPr>
            <w:r w:rsidRPr="00BE3951">
              <w:rPr>
                <w:rFonts w:ascii="Overpass" w:eastAsia="Times New Roman" w:hAnsi="Overpass" w:cs="Calibri"/>
                <w:color w:val="212121"/>
                <w:lang w:eastAsia="it-IT"/>
              </w:rPr>
              <w:t>Accrued expenses and other current liabilities – related parties</w:t>
            </w:r>
          </w:p>
        </w:tc>
        <w:tc>
          <w:tcPr>
            <w:tcW w:w="1842" w:type="dxa"/>
            <w:vAlign w:val="bottom"/>
            <w:hideMark/>
          </w:tcPr>
          <w:p w14:paraId="5BB14C5B"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303,669</w:t>
            </w:r>
          </w:p>
        </w:tc>
        <w:tc>
          <w:tcPr>
            <w:tcW w:w="53" w:type="dxa"/>
            <w:vAlign w:val="bottom"/>
            <w:hideMark/>
          </w:tcPr>
          <w:p w14:paraId="3BCB3200"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 </w:t>
            </w:r>
          </w:p>
        </w:tc>
        <w:tc>
          <w:tcPr>
            <w:tcW w:w="2641" w:type="dxa"/>
            <w:vAlign w:val="bottom"/>
            <w:hideMark/>
          </w:tcPr>
          <w:p w14:paraId="7D49F5E6"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290,686</w:t>
            </w:r>
          </w:p>
        </w:tc>
      </w:tr>
      <w:tr w:rsidR="00BE3951" w:rsidRPr="00BE3951" w14:paraId="70CE5B75" w14:textId="77777777" w:rsidTr="00BE3951">
        <w:tc>
          <w:tcPr>
            <w:tcW w:w="4536" w:type="dxa"/>
            <w:vAlign w:val="bottom"/>
            <w:hideMark/>
          </w:tcPr>
          <w:p w14:paraId="4B075C05" w14:textId="77777777" w:rsidR="00BE3951" w:rsidRPr="00BE3951" w:rsidRDefault="00BE3951" w:rsidP="00BE3951">
            <w:pPr>
              <w:shd w:val="clear" w:color="auto" w:fill="FFFFFF"/>
              <w:spacing w:after="0" w:line="240" w:lineRule="auto"/>
              <w:jc w:val="both"/>
              <w:rPr>
                <w:rFonts w:ascii="Overpass" w:eastAsia="Times New Roman" w:hAnsi="Overpass" w:cs="Calibri"/>
                <w:color w:val="212121"/>
                <w:lang w:eastAsia="it-IT"/>
              </w:rPr>
            </w:pPr>
            <w:r w:rsidRPr="00BE3951">
              <w:rPr>
                <w:rFonts w:ascii="Overpass" w:eastAsia="Times New Roman" w:hAnsi="Overpass" w:cs="Calibri"/>
                <w:color w:val="212121"/>
                <w:lang w:eastAsia="it-IT"/>
              </w:rPr>
              <w:t>Exchangeable notes</w:t>
            </w:r>
          </w:p>
        </w:tc>
        <w:tc>
          <w:tcPr>
            <w:tcW w:w="1842" w:type="dxa"/>
            <w:vAlign w:val="bottom"/>
            <w:hideMark/>
          </w:tcPr>
          <w:p w14:paraId="74620115"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w:t>
            </w:r>
          </w:p>
        </w:tc>
        <w:tc>
          <w:tcPr>
            <w:tcW w:w="53" w:type="dxa"/>
            <w:vAlign w:val="bottom"/>
            <w:hideMark/>
          </w:tcPr>
          <w:p w14:paraId="6ED07797"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 </w:t>
            </w:r>
          </w:p>
        </w:tc>
        <w:tc>
          <w:tcPr>
            <w:tcW w:w="2641" w:type="dxa"/>
            <w:vAlign w:val="bottom"/>
            <w:hideMark/>
          </w:tcPr>
          <w:p w14:paraId="4E88CA86"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378,638</w:t>
            </w:r>
          </w:p>
        </w:tc>
      </w:tr>
      <w:tr w:rsidR="00BE3951" w:rsidRPr="00BE3951" w14:paraId="1936547A" w14:textId="77777777" w:rsidTr="00BE3951">
        <w:tc>
          <w:tcPr>
            <w:tcW w:w="4536" w:type="dxa"/>
            <w:vAlign w:val="bottom"/>
            <w:hideMark/>
          </w:tcPr>
          <w:p w14:paraId="37977D1C" w14:textId="77777777" w:rsidR="00BE3951" w:rsidRPr="00BE3951" w:rsidRDefault="00BE3951" w:rsidP="00BE3951">
            <w:pPr>
              <w:shd w:val="clear" w:color="auto" w:fill="FFFFFF"/>
              <w:spacing w:after="0" w:line="240" w:lineRule="auto"/>
              <w:jc w:val="both"/>
              <w:rPr>
                <w:rFonts w:ascii="Overpass" w:eastAsia="Times New Roman" w:hAnsi="Overpass" w:cs="Calibri"/>
                <w:color w:val="212121"/>
                <w:lang w:eastAsia="it-IT"/>
              </w:rPr>
            </w:pPr>
            <w:r w:rsidRPr="00BE3951">
              <w:rPr>
                <w:rFonts w:ascii="Overpass" w:eastAsia="Times New Roman" w:hAnsi="Overpass" w:cs="Calibri"/>
                <w:color w:val="212121"/>
                <w:lang w:eastAsia="it-IT"/>
              </w:rPr>
              <w:t>Convertible notes</w:t>
            </w:r>
          </w:p>
        </w:tc>
        <w:tc>
          <w:tcPr>
            <w:tcW w:w="1842" w:type="dxa"/>
            <w:tcBorders>
              <w:bottom w:val="single" w:sz="8" w:space="0" w:color="000000"/>
            </w:tcBorders>
            <w:vAlign w:val="bottom"/>
            <w:hideMark/>
          </w:tcPr>
          <w:p w14:paraId="49A75A56"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w:t>
            </w:r>
          </w:p>
        </w:tc>
        <w:tc>
          <w:tcPr>
            <w:tcW w:w="53" w:type="dxa"/>
            <w:vAlign w:val="bottom"/>
            <w:hideMark/>
          </w:tcPr>
          <w:p w14:paraId="344173CD"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 </w:t>
            </w:r>
          </w:p>
        </w:tc>
        <w:tc>
          <w:tcPr>
            <w:tcW w:w="2641" w:type="dxa"/>
            <w:tcBorders>
              <w:bottom w:val="single" w:sz="8" w:space="0" w:color="000000"/>
            </w:tcBorders>
            <w:vAlign w:val="bottom"/>
            <w:hideMark/>
          </w:tcPr>
          <w:p w14:paraId="4E046227"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20,277</w:t>
            </w:r>
          </w:p>
        </w:tc>
      </w:tr>
      <w:tr w:rsidR="00BE3951" w:rsidRPr="00BE3951" w14:paraId="34F15349" w14:textId="77777777" w:rsidTr="00BE3951">
        <w:tc>
          <w:tcPr>
            <w:tcW w:w="4536" w:type="dxa"/>
            <w:vAlign w:val="bottom"/>
            <w:hideMark/>
          </w:tcPr>
          <w:p w14:paraId="54538BC9" w14:textId="77777777" w:rsidR="00BE3951" w:rsidRPr="00BE3951" w:rsidRDefault="00BE3951" w:rsidP="00BE3951">
            <w:pPr>
              <w:shd w:val="clear" w:color="auto" w:fill="FFFFFF"/>
              <w:spacing w:after="0" w:line="240" w:lineRule="auto"/>
              <w:jc w:val="both"/>
              <w:rPr>
                <w:rFonts w:ascii="Overpass" w:eastAsia="Times New Roman" w:hAnsi="Overpass" w:cs="Calibri"/>
                <w:color w:val="212121"/>
                <w:lang w:eastAsia="it-IT"/>
              </w:rPr>
            </w:pPr>
            <w:r w:rsidRPr="00BE3951">
              <w:rPr>
                <w:rFonts w:ascii="Overpass" w:eastAsia="Times New Roman" w:hAnsi="Overpass" w:cs="Calibri"/>
                <w:color w:val="212121"/>
                <w:lang w:eastAsia="it-IT"/>
              </w:rPr>
              <w:t> </w:t>
            </w:r>
          </w:p>
        </w:tc>
        <w:tc>
          <w:tcPr>
            <w:tcW w:w="1842" w:type="dxa"/>
            <w:vAlign w:val="bottom"/>
            <w:hideMark/>
          </w:tcPr>
          <w:p w14:paraId="24267217"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 </w:t>
            </w:r>
          </w:p>
        </w:tc>
        <w:tc>
          <w:tcPr>
            <w:tcW w:w="53" w:type="dxa"/>
            <w:vAlign w:val="bottom"/>
            <w:hideMark/>
          </w:tcPr>
          <w:p w14:paraId="71F3AE8D"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 </w:t>
            </w:r>
          </w:p>
        </w:tc>
        <w:tc>
          <w:tcPr>
            <w:tcW w:w="2641" w:type="dxa"/>
            <w:vAlign w:val="bottom"/>
            <w:hideMark/>
          </w:tcPr>
          <w:p w14:paraId="2C7C3B07"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 </w:t>
            </w:r>
          </w:p>
        </w:tc>
      </w:tr>
      <w:tr w:rsidR="00BE3951" w:rsidRPr="00BE3951" w14:paraId="1AE8A75A" w14:textId="77777777" w:rsidTr="00BE3951">
        <w:tc>
          <w:tcPr>
            <w:tcW w:w="4536" w:type="dxa"/>
            <w:vAlign w:val="bottom"/>
            <w:hideMark/>
          </w:tcPr>
          <w:p w14:paraId="2914E5E5" w14:textId="77777777" w:rsidR="00BE3951" w:rsidRPr="00BE3951" w:rsidRDefault="00BE3951" w:rsidP="00BE3951">
            <w:pPr>
              <w:shd w:val="clear" w:color="auto" w:fill="FFFFFF"/>
              <w:spacing w:after="0" w:line="240" w:lineRule="auto"/>
              <w:jc w:val="both"/>
              <w:rPr>
                <w:rFonts w:ascii="Overpass" w:eastAsia="Times New Roman" w:hAnsi="Overpass" w:cs="Calibri"/>
                <w:color w:val="212121"/>
                <w:lang w:eastAsia="it-IT"/>
              </w:rPr>
            </w:pPr>
            <w:r w:rsidRPr="00BE3951">
              <w:rPr>
                <w:rFonts w:ascii="Overpass" w:eastAsia="Times New Roman" w:hAnsi="Overpass" w:cs="Calibri"/>
                <w:b/>
                <w:bCs/>
                <w:color w:val="212121"/>
                <w:lang w:eastAsia="it-IT"/>
              </w:rPr>
              <w:t>Total current liabilities</w:t>
            </w:r>
          </w:p>
        </w:tc>
        <w:tc>
          <w:tcPr>
            <w:tcW w:w="1842" w:type="dxa"/>
            <w:tcBorders>
              <w:bottom w:val="single" w:sz="8" w:space="0" w:color="000000"/>
            </w:tcBorders>
            <w:vAlign w:val="bottom"/>
            <w:hideMark/>
          </w:tcPr>
          <w:p w14:paraId="21C45BE2"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b/>
                <w:bCs/>
                <w:color w:val="212121"/>
                <w:lang w:eastAsia="it-IT"/>
              </w:rPr>
              <w:t>1,702,514</w:t>
            </w:r>
          </w:p>
        </w:tc>
        <w:tc>
          <w:tcPr>
            <w:tcW w:w="53" w:type="dxa"/>
            <w:vAlign w:val="bottom"/>
            <w:hideMark/>
          </w:tcPr>
          <w:p w14:paraId="0505B0D7"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 </w:t>
            </w:r>
          </w:p>
        </w:tc>
        <w:tc>
          <w:tcPr>
            <w:tcW w:w="2641" w:type="dxa"/>
            <w:tcBorders>
              <w:bottom w:val="single" w:sz="8" w:space="0" w:color="000000"/>
            </w:tcBorders>
            <w:vAlign w:val="bottom"/>
            <w:hideMark/>
          </w:tcPr>
          <w:p w14:paraId="465DE360"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b/>
                <w:bCs/>
                <w:color w:val="212121"/>
                <w:lang w:eastAsia="it-IT"/>
              </w:rPr>
              <w:t>1,757,281</w:t>
            </w:r>
          </w:p>
        </w:tc>
      </w:tr>
      <w:tr w:rsidR="00BE3951" w:rsidRPr="00BE3951" w14:paraId="1E3D99DD" w14:textId="77777777" w:rsidTr="00BE3951">
        <w:tc>
          <w:tcPr>
            <w:tcW w:w="4536" w:type="dxa"/>
            <w:vAlign w:val="bottom"/>
            <w:hideMark/>
          </w:tcPr>
          <w:p w14:paraId="6A68FA7D" w14:textId="77777777" w:rsidR="00BE3951" w:rsidRPr="00BE3951" w:rsidRDefault="00BE3951" w:rsidP="00BE3951">
            <w:pPr>
              <w:shd w:val="clear" w:color="auto" w:fill="FFFFFF"/>
              <w:spacing w:after="0" w:line="240" w:lineRule="auto"/>
              <w:jc w:val="both"/>
              <w:rPr>
                <w:rFonts w:ascii="Overpass" w:eastAsia="Times New Roman" w:hAnsi="Overpass" w:cs="Calibri"/>
                <w:color w:val="212121"/>
                <w:lang w:eastAsia="it-IT"/>
              </w:rPr>
            </w:pPr>
            <w:r w:rsidRPr="00BE3951">
              <w:rPr>
                <w:rFonts w:ascii="Overpass" w:eastAsia="Times New Roman" w:hAnsi="Overpass" w:cs="Calibri"/>
                <w:b/>
                <w:bCs/>
                <w:color w:val="212121"/>
                <w:lang w:eastAsia="it-IT"/>
              </w:rPr>
              <w:t> </w:t>
            </w:r>
          </w:p>
        </w:tc>
        <w:tc>
          <w:tcPr>
            <w:tcW w:w="1842" w:type="dxa"/>
            <w:vAlign w:val="bottom"/>
            <w:hideMark/>
          </w:tcPr>
          <w:p w14:paraId="585E8299"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 </w:t>
            </w:r>
          </w:p>
        </w:tc>
        <w:tc>
          <w:tcPr>
            <w:tcW w:w="53" w:type="dxa"/>
            <w:vAlign w:val="bottom"/>
            <w:hideMark/>
          </w:tcPr>
          <w:p w14:paraId="3CC504B8"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 </w:t>
            </w:r>
          </w:p>
        </w:tc>
        <w:tc>
          <w:tcPr>
            <w:tcW w:w="2641" w:type="dxa"/>
            <w:vAlign w:val="bottom"/>
            <w:hideMark/>
          </w:tcPr>
          <w:p w14:paraId="6D52D837"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 </w:t>
            </w:r>
          </w:p>
        </w:tc>
      </w:tr>
      <w:tr w:rsidR="00BE3951" w:rsidRPr="00BE3951" w14:paraId="10DC2F41" w14:textId="77777777" w:rsidTr="00BE3951">
        <w:tc>
          <w:tcPr>
            <w:tcW w:w="4536" w:type="dxa"/>
            <w:vAlign w:val="bottom"/>
            <w:hideMark/>
          </w:tcPr>
          <w:p w14:paraId="3C446BB5" w14:textId="77777777" w:rsidR="00BE3951" w:rsidRPr="00BE3951" w:rsidRDefault="00BE3951" w:rsidP="00BE3951">
            <w:pPr>
              <w:shd w:val="clear" w:color="auto" w:fill="FFFFFF"/>
              <w:spacing w:after="0" w:line="240" w:lineRule="auto"/>
              <w:jc w:val="both"/>
              <w:rPr>
                <w:rFonts w:ascii="Overpass" w:eastAsia="Times New Roman" w:hAnsi="Overpass" w:cs="Calibri"/>
                <w:color w:val="212121"/>
                <w:lang w:eastAsia="it-IT"/>
              </w:rPr>
            </w:pPr>
            <w:r w:rsidRPr="00BE3951">
              <w:rPr>
                <w:rFonts w:ascii="Overpass" w:eastAsia="Times New Roman" w:hAnsi="Overpass" w:cs="Calibri"/>
                <w:b/>
                <w:bCs/>
                <w:color w:val="212121"/>
                <w:lang w:eastAsia="it-IT"/>
              </w:rPr>
              <w:t>Non-current liabilities</w:t>
            </w:r>
          </w:p>
        </w:tc>
        <w:tc>
          <w:tcPr>
            <w:tcW w:w="1842" w:type="dxa"/>
            <w:vAlign w:val="bottom"/>
            <w:hideMark/>
          </w:tcPr>
          <w:p w14:paraId="27E4CFFA"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 </w:t>
            </w:r>
          </w:p>
        </w:tc>
        <w:tc>
          <w:tcPr>
            <w:tcW w:w="53" w:type="dxa"/>
            <w:vAlign w:val="bottom"/>
            <w:hideMark/>
          </w:tcPr>
          <w:p w14:paraId="100B7FC4"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 </w:t>
            </w:r>
          </w:p>
        </w:tc>
        <w:tc>
          <w:tcPr>
            <w:tcW w:w="2641" w:type="dxa"/>
            <w:vAlign w:val="bottom"/>
            <w:hideMark/>
          </w:tcPr>
          <w:p w14:paraId="243142CB"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 </w:t>
            </w:r>
          </w:p>
        </w:tc>
      </w:tr>
      <w:tr w:rsidR="00BE3951" w:rsidRPr="00BE3951" w14:paraId="5ED40144" w14:textId="77777777" w:rsidTr="00BE3951">
        <w:tc>
          <w:tcPr>
            <w:tcW w:w="4536" w:type="dxa"/>
            <w:vAlign w:val="bottom"/>
            <w:hideMark/>
          </w:tcPr>
          <w:p w14:paraId="6A0D8B5B" w14:textId="77777777" w:rsidR="00BE3951" w:rsidRPr="00BE3951" w:rsidRDefault="00BE3951" w:rsidP="00BE3951">
            <w:pPr>
              <w:shd w:val="clear" w:color="auto" w:fill="FFFFFF"/>
              <w:spacing w:after="0" w:line="240" w:lineRule="auto"/>
              <w:jc w:val="both"/>
              <w:rPr>
                <w:rFonts w:ascii="Overpass" w:eastAsia="Times New Roman" w:hAnsi="Overpass" w:cs="Calibri"/>
                <w:color w:val="212121"/>
                <w:lang w:eastAsia="it-IT"/>
              </w:rPr>
            </w:pPr>
            <w:r w:rsidRPr="00BE3951">
              <w:rPr>
                <w:rFonts w:ascii="Overpass" w:eastAsia="Times New Roman" w:hAnsi="Overpass" w:cs="Calibri"/>
                <w:color w:val="212121"/>
                <w:lang w:eastAsia="it-IT"/>
              </w:rPr>
              <w:t>Contract liabilities – third parties</w:t>
            </w:r>
          </w:p>
        </w:tc>
        <w:tc>
          <w:tcPr>
            <w:tcW w:w="1842" w:type="dxa"/>
            <w:vAlign w:val="bottom"/>
            <w:hideMark/>
          </w:tcPr>
          <w:p w14:paraId="24A80B7C"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6,468</w:t>
            </w:r>
          </w:p>
        </w:tc>
        <w:tc>
          <w:tcPr>
            <w:tcW w:w="53" w:type="dxa"/>
            <w:vAlign w:val="bottom"/>
            <w:hideMark/>
          </w:tcPr>
          <w:p w14:paraId="5DCD5D53"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 </w:t>
            </w:r>
          </w:p>
        </w:tc>
        <w:tc>
          <w:tcPr>
            <w:tcW w:w="2641" w:type="dxa"/>
            <w:vAlign w:val="bottom"/>
            <w:hideMark/>
          </w:tcPr>
          <w:p w14:paraId="2A822BB8"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6,245</w:t>
            </w:r>
          </w:p>
        </w:tc>
      </w:tr>
      <w:tr w:rsidR="00BE3951" w:rsidRPr="00BE3951" w14:paraId="70AAF605" w14:textId="77777777" w:rsidTr="00BE3951">
        <w:tc>
          <w:tcPr>
            <w:tcW w:w="4536" w:type="dxa"/>
            <w:vAlign w:val="bottom"/>
            <w:hideMark/>
          </w:tcPr>
          <w:p w14:paraId="06417C3A" w14:textId="77777777" w:rsidR="00BE3951" w:rsidRPr="00BE3951" w:rsidRDefault="00BE3951" w:rsidP="00BE3951">
            <w:pPr>
              <w:shd w:val="clear" w:color="auto" w:fill="FFFFFF"/>
              <w:spacing w:after="0" w:line="240" w:lineRule="auto"/>
              <w:jc w:val="both"/>
              <w:rPr>
                <w:rFonts w:ascii="Overpass" w:eastAsia="Times New Roman" w:hAnsi="Overpass" w:cs="Calibri"/>
                <w:color w:val="212121"/>
                <w:lang w:eastAsia="it-IT"/>
              </w:rPr>
            </w:pPr>
            <w:r w:rsidRPr="00BE3951">
              <w:rPr>
                <w:rFonts w:ascii="Overpass" w:eastAsia="Times New Roman" w:hAnsi="Overpass" w:cs="Calibri"/>
                <w:color w:val="212121"/>
                <w:lang w:eastAsia="it-IT"/>
              </w:rPr>
              <w:t>Operating lease liabilities – third parties</w:t>
            </w:r>
          </w:p>
        </w:tc>
        <w:tc>
          <w:tcPr>
            <w:tcW w:w="1842" w:type="dxa"/>
            <w:vAlign w:val="bottom"/>
            <w:hideMark/>
          </w:tcPr>
          <w:p w14:paraId="19476D7A"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88,268</w:t>
            </w:r>
          </w:p>
        </w:tc>
        <w:tc>
          <w:tcPr>
            <w:tcW w:w="53" w:type="dxa"/>
            <w:vAlign w:val="bottom"/>
            <w:hideMark/>
          </w:tcPr>
          <w:p w14:paraId="643FA1D5"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 </w:t>
            </w:r>
          </w:p>
        </w:tc>
        <w:tc>
          <w:tcPr>
            <w:tcW w:w="2641" w:type="dxa"/>
            <w:vAlign w:val="bottom"/>
            <w:hideMark/>
          </w:tcPr>
          <w:p w14:paraId="78305147"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91,929</w:t>
            </w:r>
          </w:p>
        </w:tc>
      </w:tr>
      <w:tr w:rsidR="00BE3951" w:rsidRPr="00BE3951" w14:paraId="52A70668" w14:textId="77777777" w:rsidTr="00BE3951">
        <w:tc>
          <w:tcPr>
            <w:tcW w:w="4536" w:type="dxa"/>
            <w:vAlign w:val="bottom"/>
            <w:hideMark/>
          </w:tcPr>
          <w:p w14:paraId="69AD06F0" w14:textId="77777777" w:rsidR="00BE3951" w:rsidRPr="00BE3951" w:rsidRDefault="00BE3951" w:rsidP="00BE3951">
            <w:pPr>
              <w:shd w:val="clear" w:color="auto" w:fill="FFFFFF"/>
              <w:spacing w:after="0" w:line="240" w:lineRule="auto"/>
              <w:jc w:val="both"/>
              <w:rPr>
                <w:rFonts w:ascii="Overpass" w:eastAsia="Times New Roman" w:hAnsi="Overpass" w:cs="Calibri"/>
                <w:color w:val="212121"/>
                <w:lang w:eastAsia="it-IT"/>
              </w:rPr>
            </w:pPr>
            <w:r w:rsidRPr="00BE3951">
              <w:rPr>
                <w:rFonts w:ascii="Overpass" w:eastAsia="Times New Roman" w:hAnsi="Overpass" w:cs="Calibri"/>
                <w:color w:val="212121"/>
                <w:lang w:eastAsia="it-IT"/>
              </w:rPr>
              <w:t>Operating lease liabilities – related parties</w:t>
            </w:r>
          </w:p>
        </w:tc>
        <w:tc>
          <w:tcPr>
            <w:tcW w:w="1842" w:type="dxa"/>
            <w:vAlign w:val="bottom"/>
            <w:hideMark/>
          </w:tcPr>
          <w:p w14:paraId="2DF01F66"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11,735</w:t>
            </w:r>
          </w:p>
        </w:tc>
        <w:tc>
          <w:tcPr>
            <w:tcW w:w="53" w:type="dxa"/>
            <w:vAlign w:val="bottom"/>
            <w:hideMark/>
          </w:tcPr>
          <w:p w14:paraId="6FF14958"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 </w:t>
            </w:r>
          </w:p>
        </w:tc>
        <w:tc>
          <w:tcPr>
            <w:tcW w:w="2641" w:type="dxa"/>
            <w:vAlign w:val="bottom"/>
            <w:hideMark/>
          </w:tcPr>
          <w:p w14:paraId="1697A524"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12,064</w:t>
            </w:r>
          </w:p>
        </w:tc>
      </w:tr>
      <w:tr w:rsidR="00BE3951" w:rsidRPr="00BE3951" w14:paraId="2707854A" w14:textId="77777777" w:rsidTr="00BE3951">
        <w:tc>
          <w:tcPr>
            <w:tcW w:w="4536" w:type="dxa"/>
            <w:vAlign w:val="bottom"/>
            <w:hideMark/>
          </w:tcPr>
          <w:p w14:paraId="6CADA3B0" w14:textId="77777777" w:rsidR="00BE3951" w:rsidRPr="00BE3951" w:rsidRDefault="00BE3951" w:rsidP="00BE3951">
            <w:pPr>
              <w:shd w:val="clear" w:color="auto" w:fill="FFFFFF"/>
              <w:spacing w:after="0" w:line="240" w:lineRule="auto"/>
              <w:jc w:val="both"/>
              <w:rPr>
                <w:rFonts w:ascii="Overpass" w:eastAsia="Times New Roman" w:hAnsi="Overpass" w:cs="Calibri"/>
                <w:color w:val="212121"/>
                <w:lang w:eastAsia="it-IT"/>
              </w:rPr>
            </w:pPr>
            <w:r w:rsidRPr="00BE3951">
              <w:rPr>
                <w:rFonts w:ascii="Overpass" w:eastAsia="Times New Roman" w:hAnsi="Overpass" w:cs="Calibri"/>
                <w:color w:val="212121"/>
                <w:lang w:eastAsia="it-IT"/>
              </w:rPr>
              <w:t>Put option liabilities – third parties</w:t>
            </w:r>
          </w:p>
        </w:tc>
        <w:tc>
          <w:tcPr>
            <w:tcW w:w="1842" w:type="dxa"/>
            <w:vAlign w:val="bottom"/>
            <w:hideMark/>
          </w:tcPr>
          <w:p w14:paraId="5C6D83F5"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169,808</w:t>
            </w:r>
          </w:p>
        </w:tc>
        <w:tc>
          <w:tcPr>
            <w:tcW w:w="53" w:type="dxa"/>
            <w:vAlign w:val="bottom"/>
            <w:hideMark/>
          </w:tcPr>
          <w:p w14:paraId="706C32EE"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 </w:t>
            </w:r>
          </w:p>
        </w:tc>
        <w:tc>
          <w:tcPr>
            <w:tcW w:w="2641" w:type="dxa"/>
            <w:vAlign w:val="bottom"/>
            <w:hideMark/>
          </w:tcPr>
          <w:p w14:paraId="01EAC801"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w:t>
            </w:r>
          </w:p>
        </w:tc>
      </w:tr>
      <w:tr w:rsidR="00BE3951" w:rsidRPr="00BE3951" w14:paraId="50AF40FE" w14:textId="77777777" w:rsidTr="00BE3951">
        <w:tc>
          <w:tcPr>
            <w:tcW w:w="4536" w:type="dxa"/>
            <w:vAlign w:val="bottom"/>
            <w:hideMark/>
          </w:tcPr>
          <w:p w14:paraId="669120D4" w14:textId="77777777" w:rsidR="00BE3951" w:rsidRPr="00BE3951" w:rsidRDefault="00BE3951" w:rsidP="00BE3951">
            <w:pPr>
              <w:shd w:val="clear" w:color="auto" w:fill="FFFFFF"/>
              <w:spacing w:after="0" w:line="240" w:lineRule="auto"/>
              <w:jc w:val="both"/>
              <w:rPr>
                <w:rFonts w:ascii="Overpass" w:eastAsia="Times New Roman" w:hAnsi="Overpass" w:cs="Calibri"/>
                <w:color w:val="212121"/>
                <w:lang w:eastAsia="it-IT"/>
              </w:rPr>
            </w:pPr>
            <w:r w:rsidRPr="00BE3951">
              <w:rPr>
                <w:rFonts w:ascii="Overpass" w:eastAsia="Times New Roman" w:hAnsi="Overpass" w:cs="Calibri"/>
                <w:color w:val="212121"/>
                <w:lang w:eastAsia="it-IT"/>
              </w:rPr>
              <w:t>Put option liabilities – related parties</w:t>
            </w:r>
          </w:p>
        </w:tc>
        <w:tc>
          <w:tcPr>
            <w:tcW w:w="1842" w:type="dxa"/>
            <w:vAlign w:val="bottom"/>
            <w:hideMark/>
          </w:tcPr>
          <w:p w14:paraId="68A557A7"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38</w:t>
            </w:r>
          </w:p>
        </w:tc>
        <w:tc>
          <w:tcPr>
            <w:tcW w:w="53" w:type="dxa"/>
            <w:vAlign w:val="bottom"/>
            <w:hideMark/>
          </w:tcPr>
          <w:p w14:paraId="2A209E6D"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 </w:t>
            </w:r>
          </w:p>
        </w:tc>
        <w:tc>
          <w:tcPr>
            <w:tcW w:w="2641" w:type="dxa"/>
            <w:vAlign w:val="bottom"/>
            <w:hideMark/>
          </w:tcPr>
          <w:p w14:paraId="406A7FA2"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11,884</w:t>
            </w:r>
          </w:p>
        </w:tc>
      </w:tr>
      <w:tr w:rsidR="00BE3951" w:rsidRPr="00BE3951" w14:paraId="78869D20" w14:textId="77777777" w:rsidTr="00BE3951">
        <w:tc>
          <w:tcPr>
            <w:tcW w:w="4536" w:type="dxa"/>
            <w:vAlign w:val="bottom"/>
            <w:hideMark/>
          </w:tcPr>
          <w:p w14:paraId="6E5D33A0" w14:textId="77777777" w:rsidR="00BE3951" w:rsidRPr="00BE3951" w:rsidRDefault="00BE3951" w:rsidP="00BE3951">
            <w:pPr>
              <w:shd w:val="clear" w:color="auto" w:fill="FFFFFF"/>
              <w:spacing w:after="0" w:line="240" w:lineRule="auto"/>
              <w:jc w:val="both"/>
              <w:rPr>
                <w:rFonts w:ascii="Overpass" w:eastAsia="Times New Roman" w:hAnsi="Overpass" w:cs="Calibri"/>
                <w:color w:val="212121"/>
                <w:lang w:eastAsia="it-IT"/>
              </w:rPr>
            </w:pPr>
            <w:r w:rsidRPr="00BE3951">
              <w:rPr>
                <w:rFonts w:ascii="Overpass" w:eastAsia="Times New Roman" w:hAnsi="Overpass" w:cs="Calibri"/>
                <w:color w:val="212121"/>
                <w:lang w:eastAsia="it-IT"/>
              </w:rPr>
              <w:t>Exchangeable notes</w:t>
            </w:r>
          </w:p>
        </w:tc>
        <w:tc>
          <w:tcPr>
            <w:tcW w:w="1842" w:type="dxa"/>
            <w:vAlign w:val="bottom"/>
            <w:hideMark/>
          </w:tcPr>
          <w:p w14:paraId="08927BC9"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76,371</w:t>
            </w:r>
          </w:p>
        </w:tc>
        <w:tc>
          <w:tcPr>
            <w:tcW w:w="53" w:type="dxa"/>
            <w:vAlign w:val="bottom"/>
            <w:hideMark/>
          </w:tcPr>
          <w:p w14:paraId="76A38ED4"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 </w:t>
            </w:r>
          </w:p>
        </w:tc>
        <w:tc>
          <w:tcPr>
            <w:tcW w:w="2641" w:type="dxa"/>
            <w:vAlign w:val="bottom"/>
            <w:hideMark/>
          </w:tcPr>
          <w:p w14:paraId="7BAB5FC9"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75,678</w:t>
            </w:r>
          </w:p>
        </w:tc>
      </w:tr>
      <w:tr w:rsidR="00BE3951" w:rsidRPr="00BE3951" w14:paraId="5BA361B5" w14:textId="77777777" w:rsidTr="00BE3951">
        <w:tc>
          <w:tcPr>
            <w:tcW w:w="4536" w:type="dxa"/>
            <w:vAlign w:val="bottom"/>
            <w:hideMark/>
          </w:tcPr>
          <w:p w14:paraId="5F46BF3F" w14:textId="77777777" w:rsidR="00BE3951" w:rsidRPr="00BE3951" w:rsidRDefault="00BE3951" w:rsidP="00BE3951">
            <w:pPr>
              <w:shd w:val="clear" w:color="auto" w:fill="FFFFFF"/>
              <w:spacing w:after="0" w:line="240" w:lineRule="auto"/>
              <w:jc w:val="both"/>
              <w:rPr>
                <w:rFonts w:ascii="Overpass" w:eastAsia="Times New Roman" w:hAnsi="Overpass" w:cs="Calibri"/>
                <w:color w:val="212121"/>
                <w:lang w:eastAsia="it-IT"/>
              </w:rPr>
            </w:pPr>
            <w:r w:rsidRPr="00BE3951">
              <w:rPr>
                <w:rFonts w:ascii="Overpass" w:eastAsia="Times New Roman" w:hAnsi="Overpass" w:cs="Calibri"/>
                <w:color w:val="212121"/>
                <w:lang w:eastAsia="it-IT"/>
              </w:rPr>
              <w:t>Convertible notes</w:t>
            </w:r>
          </w:p>
        </w:tc>
        <w:tc>
          <w:tcPr>
            <w:tcW w:w="1842" w:type="dxa"/>
            <w:vAlign w:val="bottom"/>
            <w:hideMark/>
          </w:tcPr>
          <w:p w14:paraId="3823C002"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80,692</w:t>
            </w:r>
          </w:p>
        </w:tc>
        <w:tc>
          <w:tcPr>
            <w:tcW w:w="53" w:type="dxa"/>
            <w:vAlign w:val="bottom"/>
            <w:hideMark/>
          </w:tcPr>
          <w:p w14:paraId="4E89EAB0"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 </w:t>
            </w:r>
          </w:p>
        </w:tc>
        <w:tc>
          <w:tcPr>
            <w:tcW w:w="2641" w:type="dxa"/>
            <w:vAlign w:val="bottom"/>
            <w:hideMark/>
          </w:tcPr>
          <w:p w14:paraId="1BFD333D"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81,635</w:t>
            </w:r>
          </w:p>
        </w:tc>
      </w:tr>
      <w:tr w:rsidR="00BE3951" w:rsidRPr="00BE3951" w14:paraId="7B44FD11" w14:textId="77777777" w:rsidTr="00BE3951">
        <w:tc>
          <w:tcPr>
            <w:tcW w:w="4536" w:type="dxa"/>
            <w:vAlign w:val="bottom"/>
            <w:hideMark/>
          </w:tcPr>
          <w:p w14:paraId="25E83F96" w14:textId="77777777" w:rsidR="00BE3951" w:rsidRPr="00BE3951" w:rsidRDefault="00BE3951" w:rsidP="00BE3951">
            <w:pPr>
              <w:shd w:val="clear" w:color="auto" w:fill="FFFFFF"/>
              <w:spacing w:after="0" w:line="240" w:lineRule="auto"/>
              <w:jc w:val="both"/>
              <w:rPr>
                <w:rFonts w:ascii="Overpass" w:eastAsia="Times New Roman" w:hAnsi="Overpass" w:cs="Calibri"/>
                <w:color w:val="212121"/>
                <w:lang w:eastAsia="it-IT"/>
              </w:rPr>
            </w:pPr>
            <w:r w:rsidRPr="00BE3951">
              <w:rPr>
                <w:rFonts w:ascii="Overpass" w:eastAsia="Times New Roman" w:hAnsi="Overpass" w:cs="Calibri"/>
                <w:color w:val="212121"/>
                <w:lang w:eastAsia="it-IT"/>
              </w:rPr>
              <w:t>Warrant liabilities</w:t>
            </w:r>
          </w:p>
        </w:tc>
        <w:tc>
          <w:tcPr>
            <w:tcW w:w="1842" w:type="dxa"/>
            <w:vAlign w:val="bottom"/>
            <w:hideMark/>
          </w:tcPr>
          <w:p w14:paraId="59DC275F"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7,287</w:t>
            </w:r>
          </w:p>
        </w:tc>
        <w:tc>
          <w:tcPr>
            <w:tcW w:w="53" w:type="dxa"/>
            <w:vAlign w:val="bottom"/>
            <w:hideMark/>
          </w:tcPr>
          <w:p w14:paraId="6DDF4518"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 </w:t>
            </w:r>
          </w:p>
        </w:tc>
        <w:tc>
          <w:tcPr>
            <w:tcW w:w="2641" w:type="dxa"/>
            <w:vAlign w:val="bottom"/>
            <w:hideMark/>
          </w:tcPr>
          <w:p w14:paraId="296AA4E7"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w:t>
            </w:r>
          </w:p>
        </w:tc>
      </w:tr>
      <w:tr w:rsidR="00BE3951" w:rsidRPr="00BE3951" w14:paraId="027B1606" w14:textId="77777777" w:rsidTr="00BE3951">
        <w:tc>
          <w:tcPr>
            <w:tcW w:w="4536" w:type="dxa"/>
            <w:vAlign w:val="bottom"/>
            <w:hideMark/>
          </w:tcPr>
          <w:p w14:paraId="20AD7C80" w14:textId="77777777" w:rsidR="00BE3951" w:rsidRPr="00BE3951" w:rsidRDefault="00BE3951" w:rsidP="00BE3951">
            <w:pPr>
              <w:shd w:val="clear" w:color="auto" w:fill="FFFFFF"/>
              <w:spacing w:after="0" w:line="240" w:lineRule="auto"/>
              <w:jc w:val="both"/>
              <w:rPr>
                <w:rFonts w:ascii="Overpass" w:eastAsia="Times New Roman" w:hAnsi="Overpass" w:cs="Calibri"/>
                <w:color w:val="212121"/>
                <w:lang w:eastAsia="it-IT"/>
              </w:rPr>
            </w:pPr>
            <w:r w:rsidRPr="00BE3951">
              <w:rPr>
                <w:rFonts w:ascii="Overpass" w:eastAsia="Times New Roman" w:hAnsi="Overpass" w:cs="Calibri"/>
                <w:color w:val="212121"/>
                <w:lang w:eastAsia="it-IT"/>
              </w:rPr>
              <w:t>Deferred income</w:t>
            </w:r>
          </w:p>
        </w:tc>
        <w:tc>
          <w:tcPr>
            <w:tcW w:w="1842" w:type="dxa"/>
            <w:vAlign w:val="bottom"/>
            <w:hideMark/>
          </w:tcPr>
          <w:p w14:paraId="3A8DEFA0"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270,396</w:t>
            </w:r>
          </w:p>
        </w:tc>
        <w:tc>
          <w:tcPr>
            <w:tcW w:w="53" w:type="dxa"/>
            <w:vAlign w:val="bottom"/>
            <w:hideMark/>
          </w:tcPr>
          <w:p w14:paraId="722E9EA5"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 </w:t>
            </w:r>
          </w:p>
        </w:tc>
        <w:tc>
          <w:tcPr>
            <w:tcW w:w="2641" w:type="dxa"/>
            <w:vAlign w:val="bottom"/>
            <w:hideMark/>
          </w:tcPr>
          <w:p w14:paraId="018911C3"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270,097</w:t>
            </w:r>
          </w:p>
        </w:tc>
      </w:tr>
      <w:tr w:rsidR="00BE3951" w:rsidRPr="00BE3951" w14:paraId="1758B0C0" w14:textId="77777777" w:rsidTr="00BE3951">
        <w:tc>
          <w:tcPr>
            <w:tcW w:w="4536" w:type="dxa"/>
            <w:vAlign w:val="bottom"/>
            <w:hideMark/>
          </w:tcPr>
          <w:p w14:paraId="47088FCA" w14:textId="77777777" w:rsidR="00BE3951" w:rsidRPr="00BE3951" w:rsidRDefault="00BE3951" w:rsidP="00BE3951">
            <w:pPr>
              <w:shd w:val="clear" w:color="auto" w:fill="FFFFFF"/>
              <w:spacing w:after="0" w:line="240" w:lineRule="auto"/>
              <w:jc w:val="both"/>
              <w:rPr>
                <w:rFonts w:ascii="Overpass" w:eastAsia="Times New Roman" w:hAnsi="Overpass" w:cs="Calibri"/>
                <w:color w:val="212121"/>
                <w:lang w:eastAsia="it-IT"/>
              </w:rPr>
            </w:pPr>
            <w:r w:rsidRPr="00BE3951">
              <w:rPr>
                <w:rFonts w:ascii="Overpass" w:eastAsia="Times New Roman" w:hAnsi="Overpass" w:cs="Calibri"/>
                <w:color w:val="212121"/>
                <w:lang w:eastAsia="it-IT"/>
              </w:rPr>
              <w:t>Other non-current liabilities – third parties</w:t>
            </w:r>
          </w:p>
        </w:tc>
        <w:tc>
          <w:tcPr>
            <w:tcW w:w="1842" w:type="dxa"/>
            <w:vAlign w:val="bottom"/>
            <w:hideMark/>
          </w:tcPr>
          <w:p w14:paraId="2E8112C8"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108,560</w:t>
            </w:r>
          </w:p>
        </w:tc>
        <w:tc>
          <w:tcPr>
            <w:tcW w:w="53" w:type="dxa"/>
            <w:vAlign w:val="bottom"/>
            <w:hideMark/>
          </w:tcPr>
          <w:p w14:paraId="28BA5E72"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 </w:t>
            </w:r>
          </w:p>
        </w:tc>
        <w:tc>
          <w:tcPr>
            <w:tcW w:w="2641" w:type="dxa"/>
            <w:vAlign w:val="bottom"/>
            <w:hideMark/>
          </w:tcPr>
          <w:p w14:paraId="10C60273"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103,403</w:t>
            </w:r>
          </w:p>
        </w:tc>
      </w:tr>
      <w:tr w:rsidR="00BE3951" w:rsidRPr="00BE3951" w14:paraId="69DC84D2" w14:textId="77777777" w:rsidTr="00BE3951">
        <w:tc>
          <w:tcPr>
            <w:tcW w:w="4536" w:type="dxa"/>
            <w:vAlign w:val="bottom"/>
            <w:hideMark/>
          </w:tcPr>
          <w:p w14:paraId="4081675A" w14:textId="77777777" w:rsidR="00BE3951" w:rsidRPr="00BE3951" w:rsidRDefault="00BE3951" w:rsidP="00BE3951">
            <w:pPr>
              <w:shd w:val="clear" w:color="auto" w:fill="FFFFFF"/>
              <w:spacing w:after="0" w:line="240" w:lineRule="auto"/>
              <w:jc w:val="both"/>
              <w:rPr>
                <w:rFonts w:ascii="Overpass" w:eastAsia="Times New Roman" w:hAnsi="Overpass" w:cs="Calibri"/>
                <w:color w:val="212121"/>
                <w:lang w:eastAsia="it-IT"/>
              </w:rPr>
            </w:pPr>
            <w:r w:rsidRPr="00BE3951">
              <w:rPr>
                <w:rFonts w:ascii="Overpass" w:eastAsia="Times New Roman" w:hAnsi="Overpass" w:cs="Calibri"/>
                <w:color w:val="212121"/>
                <w:lang w:eastAsia="it-IT"/>
              </w:rPr>
              <w:t>Other non-current liabilities – related parties</w:t>
            </w:r>
          </w:p>
        </w:tc>
        <w:tc>
          <w:tcPr>
            <w:tcW w:w="1842" w:type="dxa"/>
            <w:tcBorders>
              <w:bottom w:val="single" w:sz="8" w:space="0" w:color="000000"/>
            </w:tcBorders>
            <w:vAlign w:val="bottom"/>
            <w:hideMark/>
          </w:tcPr>
          <w:p w14:paraId="3F66CAFA"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1,561</w:t>
            </w:r>
          </w:p>
        </w:tc>
        <w:tc>
          <w:tcPr>
            <w:tcW w:w="53" w:type="dxa"/>
            <w:vAlign w:val="bottom"/>
            <w:hideMark/>
          </w:tcPr>
          <w:p w14:paraId="6585A625"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 </w:t>
            </w:r>
          </w:p>
        </w:tc>
        <w:tc>
          <w:tcPr>
            <w:tcW w:w="2641" w:type="dxa"/>
            <w:tcBorders>
              <w:bottom w:val="single" w:sz="8" w:space="0" w:color="000000"/>
            </w:tcBorders>
            <w:vAlign w:val="bottom"/>
            <w:hideMark/>
          </w:tcPr>
          <w:p w14:paraId="5343C4AA"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1,634</w:t>
            </w:r>
          </w:p>
        </w:tc>
      </w:tr>
      <w:tr w:rsidR="00BE3951" w:rsidRPr="00BE3951" w14:paraId="5E530DFB" w14:textId="77777777" w:rsidTr="00BE3951">
        <w:tc>
          <w:tcPr>
            <w:tcW w:w="4536" w:type="dxa"/>
            <w:vAlign w:val="bottom"/>
            <w:hideMark/>
          </w:tcPr>
          <w:p w14:paraId="4BE06F0A" w14:textId="77777777" w:rsidR="00BE3951" w:rsidRPr="00BE3951" w:rsidRDefault="00BE3951" w:rsidP="00BE3951">
            <w:pPr>
              <w:shd w:val="clear" w:color="auto" w:fill="FFFFFF"/>
              <w:spacing w:after="0" w:line="240" w:lineRule="auto"/>
              <w:jc w:val="both"/>
              <w:rPr>
                <w:rFonts w:ascii="Overpass" w:eastAsia="Times New Roman" w:hAnsi="Overpass" w:cs="Calibri"/>
                <w:color w:val="212121"/>
                <w:lang w:eastAsia="it-IT"/>
              </w:rPr>
            </w:pPr>
            <w:r w:rsidRPr="00BE3951">
              <w:rPr>
                <w:rFonts w:ascii="Overpass" w:eastAsia="Times New Roman" w:hAnsi="Overpass" w:cs="Calibri"/>
                <w:color w:val="212121"/>
                <w:lang w:eastAsia="it-IT"/>
              </w:rPr>
              <w:t> </w:t>
            </w:r>
          </w:p>
        </w:tc>
        <w:tc>
          <w:tcPr>
            <w:tcW w:w="1842" w:type="dxa"/>
            <w:vAlign w:val="bottom"/>
            <w:hideMark/>
          </w:tcPr>
          <w:p w14:paraId="7C10AB0B"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 </w:t>
            </w:r>
          </w:p>
        </w:tc>
        <w:tc>
          <w:tcPr>
            <w:tcW w:w="53" w:type="dxa"/>
            <w:vAlign w:val="bottom"/>
            <w:hideMark/>
          </w:tcPr>
          <w:p w14:paraId="267ED217"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 </w:t>
            </w:r>
          </w:p>
        </w:tc>
        <w:tc>
          <w:tcPr>
            <w:tcW w:w="2641" w:type="dxa"/>
            <w:vAlign w:val="bottom"/>
            <w:hideMark/>
          </w:tcPr>
          <w:p w14:paraId="6A4E7107"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 </w:t>
            </w:r>
          </w:p>
        </w:tc>
      </w:tr>
      <w:tr w:rsidR="00BE3951" w:rsidRPr="00BE3951" w14:paraId="4F4E0684" w14:textId="77777777" w:rsidTr="00BE3951">
        <w:tc>
          <w:tcPr>
            <w:tcW w:w="4536" w:type="dxa"/>
            <w:vAlign w:val="bottom"/>
            <w:hideMark/>
          </w:tcPr>
          <w:p w14:paraId="334C3A5D" w14:textId="77777777" w:rsidR="00BE3951" w:rsidRPr="00BE3951" w:rsidRDefault="00BE3951" w:rsidP="00BE3951">
            <w:pPr>
              <w:shd w:val="clear" w:color="auto" w:fill="FFFFFF"/>
              <w:spacing w:after="0" w:line="240" w:lineRule="auto"/>
              <w:jc w:val="both"/>
              <w:rPr>
                <w:rFonts w:ascii="Overpass" w:eastAsia="Times New Roman" w:hAnsi="Overpass" w:cs="Calibri"/>
                <w:color w:val="212121"/>
                <w:lang w:eastAsia="it-IT"/>
              </w:rPr>
            </w:pPr>
            <w:r w:rsidRPr="00BE3951">
              <w:rPr>
                <w:rFonts w:ascii="Overpass" w:eastAsia="Times New Roman" w:hAnsi="Overpass" w:cs="Calibri"/>
                <w:b/>
                <w:bCs/>
                <w:color w:val="212121"/>
                <w:lang w:eastAsia="it-IT"/>
              </w:rPr>
              <w:t>Total non-current liabilities</w:t>
            </w:r>
          </w:p>
        </w:tc>
        <w:tc>
          <w:tcPr>
            <w:tcW w:w="1842" w:type="dxa"/>
            <w:tcBorders>
              <w:bottom w:val="single" w:sz="8" w:space="0" w:color="000000"/>
            </w:tcBorders>
            <w:vAlign w:val="bottom"/>
            <w:hideMark/>
          </w:tcPr>
          <w:p w14:paraId="0E67D602"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b/>
                <w:bCs/>
                <w:color w:val="212121"/>
                <w:lang w:eastAsia="it-IT"/>
              </w:rPr>
              <w:t>821,184</w:t>
            </w:r>
          </w:p>
        </w:tc>
        <w:tc>
          <w:tcPr>
            <w:tcW w:w="53" w:type="dxa"/>
            <w:vAlign w:val="bottom"/>
            <w:hideMark/>
          </w:tcPr>
          <w:p w14:paraId="4089C47F"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 </w:t>
            </w:r>
          </w:p>
        </w:tc>
        <w:tc>
          <w:tcPr>
            <w:tcW w:w="2641" w:type="dxa"/>
            <w:tcBorders>
              <w:bottom w:val="single" w:sz="8" w:space="0" w:color="000000"/>
            </w:tcBorders>
            <w:vAlign w:val="bottom"/>
            <w:hideMark/>
          </w:tcPr>
          <w:p w14:paraId="004417B4"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b/>
                <w:bCs/>
                <w:color w:val="212121"/>
                <w:lang w:eastAsia="it-IT"/>
              </w:rPr>
              <w:t>654,569</w:t>
            </w:r>
          </w:p>
        </w:tc>
      </w:tr>
      <w:tr w:rsidR="00BE3951" w:rsidRPr="00BE3951" w14:paraId="1D962209" w14:textId="77777777" w:rsidTr="00BE3951">
        <w:tc>
          <w:tcPr>
            <w:tcW w:w="4536" w:type="dxa"/>
            <w:vAlign w:val="bottom"/>
            <w:hideMark/>
          </w:tcPr>
          <w:p w14:paraId="7F5CE3A5" w14:textId="77777777" w:rsidR="00BE3951" w:rsidRPr="00BE3951" w:rsidRDefault="00BE3951" w:rsidP="00BE3951">
            <w:pPr>
              <w:shd w:val="clear" w:color="auto" w:fill="FFFFFF"/>
              <w:spacing w:after="0" w:line="240" w:lineRule="auto"/>
              <w:jc w:val="both"/>
              <w:rPr>
                <w:rFonts w:ascii="Overpass" w:eastAsia="Times New Roman" w:hAnsi="Overpass" w:cs="Calibri"/>
                <w:color w:val="212121"/>
                <w:lang w:eastAsia="it-IT"/>
              </w:rPr>
            </w:pPr>
            <w:r w:rsidRPr="00BE3951">
              <w:rPr>
                <w:rFonts w:ascii="Overpass" w:eastAsia="Times New Roman" w:hAnsi="Overpass" w:cs="Calibri"/>
                <w:b/>
                <w:bCs/>
                <w:color w:val="212121"/>
                <w:lang w:eastAsia="it-IT"/>
              </w:rPr>
              <w:t> </w:t>
            </w:r>
          </w:p>
        </w:tc>
        <w:tc>
          <w:tcPr>
            <w:tcW w:w="1842" w:type="dxa"/>
            <w:vAlign w:val="bottom"/>
            <w:hideMark/>
          </w:tcPr>
          <w:p w14:paraId="29963C89"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 </w:t>
            </w:r>
          </w:p>
        </w:tc>
        <w:tc>
          <w:tcPr>
            <w:tcW w:w="53" w:type="dxa"/>
            <w:vAlign w:val="bottom"/>
            <w:hideMark/>
          </w:tcPr>
          <w:p w14:paraId="039D1689"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 </w:t>
            </w:r>
          </w:p>
        </w:tc>
        <w:tc>
          <w:tcPr>
            <w:tcW w:w="2641" w:type="dxa"/>
            <w:vAlign w:val="bottom"/>
            <w:hideMark/>
          </w:tcPr>
          <w:p w14:paraId="3C76332D"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 </w:t>
            </w:r>
          </w:p>
        </w:tc>
      </w:tr>
      <w:tr w:rsidR="00BE3951" w:rsidRPr="00BE3951" w14:paraId="220C02E4" w14:textId="77777777" w:rsidTr="00BE3951">
        <w:tc>
          <w:tcPr>
            <w:tcW w:w="4536" w:type="dxa"/>
            <w:vAlign w:val="bottom"/>
            <w:hideMark/>
          </w:tcPr>
          <w:p w14:paraId="23A48132" w14:textId="77777777" w:rsidR="00BE3951" w:rsidRPr="00BE3951" w:rsidRDefault="00BE3951" w:rsidP="00BE3951">
            <w:pPr>
              <w:shd w:val="clear" w:color="auto" w:fill="FFFFFF"/>
              <w:spacing w:after="0" w:line="240" w:lineRule="auto"/>
              <w:jc w:val="both"/>
              <w:rPr>
                <w:rFonts w:ascii="Overpass" w:eastAsia="Times New Roman" w:hAnsi="Overpass" w:cs="Calibri"/>
                <w:color w:val="212121"/>
                <w:lang w:eastAsia="it-IT"/>
              </w:rPr>
            </w:pPr>
            <w:r w:rsidRPr="00BE3951">
              <w:rPr>
                <w:rFonts w:ascii="Overpass" w:eastAsia="Times New Roman" w:hAnsi="Overpass" w:cs="Calibri"/>
                <w:b/>
                <w:bCs/>
                <w:color w:val="212121"/>
                <w:lang w:eastAsia="it-IT"/>
              </w:rPr>
              <w:t>Total liabilities</w:t>
            </w:r>
          </w:p>
        </w:tc>
        <w:tc>
          <w:tcPr>
            <w:tcW w:w="1842" w:type="dxa"/>
            <w:tcBorders>
              <w:bottom w:val="double" w:sz="6" w:space="0" w:color="000000"/>
            </w:tcBorders>
            <w:vAlign w:val="bottom"/>
            <w:hideMark/>
          </w:tcPr>
          <w:p w14:paraId="78FD3167"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b/>
                <w:bCs/>
                <w:color w:val="212121"/>
                <w:lang w:eastAsia="it-IT"/>
              </w:rPr>
              <w:t>2,523,698</w:t>
            </w:r>
          </w:p>
        </w:tc>
        <w:tc>
          <w:tcPr>
            <w:tcW w:w="53" w:type="dxa"/>
            <w:vAlign w:val="bottom"/>
            <w:hideMark/>
          </w:tcPr>
          <w:p w14:paraId="245D3F3F"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 </w:t>
            </w:r>
          </w:p>
        </w:tc>
        <w:tc>
          <w:tcPr>
            <w:tcW w:w="2641" w:type="dxa"/>
            <w:tcBorders>
              <w:bottom w:val="double" w:sz="6" w:space="0" w:color="000000"/>
            </w:tcBorders>
            <w:vAlign w:val="bottom"/>
            <w:hideMark/>
          </w:tcPr>
          <w:p w14:paraId="28500CE9"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b/>
                <w:bCs/>
                <w:color w:val="212121"/>
                <w:lang w:eastAsia="it-IT"/>
              </w:rPr>
              <w:t>2,411,850</w:t>
            </w:r>
          </w:p>
        </w:tc>
      </w:tr>
      <w:tr w:rsidR="00BE3951" w:rsidRPr="00BE3951" w14:paraId="0734376D" w14:textId="77777777" w:rsidTr="006E0488">
        <w:tc>
          <w:tcPr>
            <w:tcW w:w="9072" w:type="dxa"/>
            <w:gridSpan w:val="4"/>
            <w:vAlign w:val="bottom"/>
            <w:hideMark/>
          </w:tcPr>
          <w:p w14:paraId="41D799CD" w14:textId="77777777" w:rsidR="00BE3951" w:rsidRPr="00BE3951" w:rsidRDefault="00BE3951" w:rsidP="00BE3951">
            <w:pPr>
              <w:shd w:val="clear" w:color="auto" w:fill="FFFFFF"/>
              <w:spacing w:after="0" w:line="240" w:lineRule="auto"/>
              <w:jc w:val="both"/>
              <w:rPr>
                <w:rFonts w:ascii="Overpass" w:eastAsia="Times New Roman" w:hAnsi="Overpass" w:cs="Calibri"/>
                <w:color w:val="212121"/>
                <w:lang w:eastAsia="it-IT"/>
              </w:rPr>
            </w:pPr>
            <w:r w:rsidRPr="00BE3951">
              <w:rPr>
                <w:rFonts w:ascii="Overpass" w:eastAsia="Times New Roman" w:hAnsi="Overpass" w:cs="Calibri"/>
                <w:color w:val="212121"/>
                <w:lang w:eastAsia="it-IT"/>
              </w:rPr>
              <w:t> </w:t>
            </w:r>
          </w:p>
        </w:tc>
      </w:tr>
    </w:tbl>
    <w:p w14:paraId="793EFDED" w14:textId="77777777" w:rsidR="00BE3951" w:rsidRPr="00BE3951" w:rsidRDefault="00BE3951" w:rsidP="00BE3951">
      <w:pPr>
        <w:shd w:val="clear" w:color="auto" w:fill="FFFFFF"/>
        <w:spacing w:after="0" w:line="240" w:lineRule="auto"/>
        <w:jc w:val="both"/>
        <w:rPr>
          <w:rFonts w:ascii="Overpass" w:eastAsia="Times New Roman" w:hAnsi="Overpass" w:cs="Calibri"/>
          <w:color w:val="212121"/>
          <w:lang w:eastAsia="it-IT"/>
        </w:rPr>
      </w:pPr>
    </w:p>
    <w:p w14:paraId="00A0692F" w14:textId="77777777" w:rsidR="00BE3951" w:rsidRPr="00BE3951" w:rsidRDefault="00BE3951" w:rsidP="006E0488">
      <w:pPr>
        <w:shd w:val="clear" w:color="auto" w:fill="FFFFFF"/>
        <w:spacing w:after="0" w:line="240" w:lineRule="auto"/>
        <w:rPr>
          <w:rFonts w:ascii="Overpass" w:eastAsia="Times New Roman" w:hAnsi="Overpass" w:cs="Calibri"/>
          <w:color w:val="212121"/>
          <w:lang w:eastAsia="it-IT"/>
        </w:rPr>
      </w:pPr>
      <w:r w:rsidRPr="00BE3951">
        <w:rPr>
          <w:rFonts w:ascii="Overpass" w:eastAsia="Times New Roman" w:hAnsi="Overpass" w:cs="Calibri"/>
          <w:b/>
          <w:bCs/>
          <w:color w:val="212121"/>
          <w:lang w:eastAsia="it-IT"/>
        </w:rPr>
        <w:t>Lotus Technology Inc.</w:t>
      </w:r>
      <w:r w:rsidRPr="00BE3951">
        <w:rPr>
          <w:rFonts w:ascii="Overpass" w:eastAsia="Times New Roman" w:hAnsi="Overpass" w:cs="Calibri"/>
          <w:color w:val="212121"/>
          <w:lang w:eastAsia="it-IT"/>
        </w:rPr>
        <w:br/>
      </w:r>
      <w:r w:rsidRPr="00BE3951">
        <w:rPr>
          <w:rFonts w:ascii="Overpass" w:eastAsia="Times New Roman" w:hAnsi="Overpass" w:cs="Calibri"/>
          <w:b/>
          <w:bCs/>
          <w:color w:val="212121"/>
          <w:lang w:eastAsia="it-IT"/>
        </w:rPr>
        <w:t>Unaudited Consolidated Balance Sheets (cont’d)</w:t>
      </w:r>
    </w:p>
    <w:p w14:paraId="24EFDBC2" w14:textId="77777777" w:rsidR="00BE3951" w:rsidRPr="00BE3951" w:rsidRDefault="00BE3951" w:rsidP="006E0488">
      <w:pPr>
        <w:shd w:val="clear" w:color="auto" w:fill="FFFFFF"/>
        <w:spacing w:after="0" w:line="240" w:lineRule="auto"/>
        <w:rPr>
          <w:rFonts w:ascii="Overpass" w:eastAsia="Times New Roman" w:hAnsi="Overpass" w:cs="Calibri"/>
          <w:color w:val="212121"/>
          <w:lang w:eastAsia="it-IT"/>
        </w:rPr>
      </w:pPr>
      <w:r w:rsidRPr="00BE3951">
        <w:rPr>
          <w:rFonts w:ascii="Overpass" w:eastAsia="Times New Roman" w:hAnsi="Overpass" w:cs="Calibri"/>
          <w:color w:val="212121"/>
          <w:lang w:eastAsia="it-IT"/>
        </w:rPr>
        <w:t>(All amounts in thousands)</w:t>
      </w:r>
    </w:p>
    <w:tbl>
      <w:tblPr>
        <w:tblW w:w="9072" w:type="dxa"/>
        <w:tblCellMar>
          <w:top w:w="15" w:type="dxa"/>
          <w:left w:w="15" w:type="dxa"/>
          <w:bottom w:w="15" w:type="dxa"/>
          <w:right w:w="15" w:type="dxa"/>
        </w:tblCellMar>
        <w:tblLook w:val="04A0" w:firstRow="1" w:lastRow="0" w:firstColumn="1" w:lastColumn="0" w:noHBand="0" w:noVBand="1"/>
      </w:tblPr>
      <w:tblGrid>
        <w:gridCol w:w="4395"/>
        <w:gridCol w:w="1611"/>
        <w:gridCol w:w="515"/>
        <w:gridCol w:w="2551"/>
      </w:tblGrid>
      <w:tr w:rsidR="00BE3951" w:rsidRPr="00BE3951" w14:paraId="4C927C6A" w14:textId="77777777" w:rsidTr="006E0488">
        <w:tc>
          <w:tcPr>
            <w:tcW w:w="4395" w:type="dxa"/>
            <w:vAlign w:val="bottom"/>
            <w:hideMark/>
          </w:tcPr>
          <w:p w14:paraId="20CE7759" w14:textId="77777777" w:rsidR="00BE3951" w:rsidRPr="00BE3951" w:rsidRDefault="00BE3951" w:rsidP="00BE3951">
            <w:pPr>
              <w:shd w:val="clear" w:color="auto" w:fill="FFFFFF"/>
              <w:spacing w:after="0" w:line="240" w:lineRule="auto"/>
              <w:jc w:val="both"/>
              <w:rPr>
                <w:rFonts w:ascii="Overpass" w:eastAsia="Times New Roman" w:hAnsi="Overpass" w:cs="Calibri"/>
                <w:color w:val="212121"/>
                <w:lang w:eastAsia="it-IT"/>
              </w:rPr>
            </w:pPr>
            <w:r w:rsidRPr="00BE3951">
              <w:rPr>
                <w:rFonts w:ascii="Overpass" w:eastAsia="Times New Roman" w:hAnsi="Overpass" w:cs="Calibri"/>
                <w:color w:val="212121"/>
                <w:lang w:eastAsia="it-IT"/>
              </w:rPr>
              <w:t> </w:t>
            </w:r>
          </w:p>
        </w:tc>
        <w:tc>
          <w:tcPr>
            <w:tcW w:w="4677" w:type="dxa"/>
            <w:gridSpan w:val="3"/>
            <w:vAlign w:val="bottom"/>
            <w:hideMark/>
          </w:tcPr>
          <w:p w14:paraId="2BC55674" w14:textId="77777777" w:rsidR="00BE3951" w:rsidRPr="00BE3951" w:rsidRDefault="00BE3951" w:rsidP="006E0488">
            <w:pPr>
              <w:shd w:val="clear" w:color="auto" w:fill="FFFFFF"/>
              <w:spacing w:after="0" w:line="240" w:lineRule="auto"/>
              <w:jc w:val="center"/>
              <w:rPr>
                <w:rFonts w:ascii="Overpass" w:eastAsia="Times New Roman" w:hAnsi="Overpass" w:cs="Calibri"/>
                <w:color w:val="212121"/>
                <w:lang w:eastAsia="it-IT"/>
              </w:rPr>
            </w:pPr>
            <w:r w:rsidRPr="00BE3951">
              <w:rPr>
                <w:rFonts w:ascii="Overpass" w:eastAsia="Times New Roman" w:hAnsi="Overpass" w:cs="Calibri"/>
                <w:b/>
                <w:bCs/>
                <w:color w:val="212121"/>
                <w:lang w:eastAsia="it-IT"/>
              </w:rPr>
              <w:t>As of</w:t>
            </w:r>
          </w:p>
        </w:tc>
      </w:tr>
      <w:tr w:rsidR="00BE3951" w:rsidRPr="00BE3951" w14:paraId="68C6F3F0" w14:textId="77777777" w:rsidTr="006E0488">
        <w:tc>
          <w:tcPr>
            <w:tcW w:w="4395" w:type="dxa"/>
            <w:vAlign w:val="bottom"/>
            <w:hideMark/>
          </w:tcPr>
          <w:p w14:paraId="2ABBCFA7" w14:textId="77777777" w:rsidR="00BE3951" w:rsidRPr="00BE3951" w:rsidRDefault="00BE3951" w:rsidP="00BE3951">
            <w:pPr>
              <w:shd w:val="clear" w:color="auto" w:fill="FFFFFF"/>
              <w:spacing w:after="0" w:line="240" w:lineRule="auto"/>
              <w:jc w:val="both"/>
              <w:rPr>
                <w:rFonts w:ascii="Overpass" w:eastAsia="Times New Roman" w:hAnsi="Overpass" w:cs="Calibri"/>
                <w:color w:val="212121"/>
                <w:lang w:eastAsia="it-IT"/>
              </w:rPr>
            </w:pPr>
            <w:r w:rsidRPr="00BE3951">
              <w:rPr>
                <w:rFonts w:ascii="Overpass" w:eastAsia="Times New Roman" w:hAnsi="Overpass" w:cs="Calibri"/>
                <w:color w:val="212121"/>
                <w:lang w:eastAsia="it-IT"/>
              </w:rPr>
              <w:t> </w:t>
            </w:r>
          </w:p>
        </w:tc>
        <w:tc>
          <w:tcPr>
            <w:tcW w:w="1611" w:type="dxa"/>
            <w:vAlign w:val="bottom"/>
            <w:hideMark/>
          </w:tcPr>
          <w:p w14:paraId="021A1370"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b/>
                <w:bCs/>
                <w:color w:val="212121"/>
                <w:lang w:eastAsia="it-IT"/>
              </w:rPr>
              <w:t>Mar 31, 2024</w:t>
            </w:r>
          </w:p>
        </w:tc>
        <w:tc>
          <w:tcPr>
            <w:tcW w:w="515" w:type="dxa"/>
            <w:vAlign w:val="bottom"/>
            <w:hideMark/>
          </w:tcPr>
          <w:p w14:paraId="3D685407" w14:textId="77777777" w:rsidR="00BE3951" w:rsidRPr="00BE3951" w:rsidRDefault="00BE3951" w:rsidP="00BE3951">
            <w:pPr>
              <w:shd w:val="clear" w:color="auto" w:fill="FFFFFF"/>
              <w:spacing w:after="0" w:line="240" w:lineRule="auto"/>
              <w:jc w:val="both"/>
              <w:rPr>
                <w:rFonts w:ascii="Overpass" w:eastAsia="Times New Roman" w:hAnsi="Overpass" w:cs="Calibri"/>
                <w:color w:val="212121"/>
                <w:lang w:eastAsia="it-IT"/>
              </w:rPr>
            </w:pPr>
            <w:r w:rsidRPr="00BE3951">
              <w:rPr>
                <w:rFonts w:ascii="Overpass" w:eastAsia="Times New Roman" w:hAnsi="Overpass" w:cs="Calibri"/>
                <w:color w:val="212121"/>
                <w:lang w:eastAsia="it-IT"/>
              </w:rPr>
              <w:t> </w:t>
            </w:r>
          </w:p>
        </w:tc>
        <w:tc>
          <w:tcPr>
            <w:tcW w:w="2551" w:type="dxa"/>
            <w:vAlign w:val="bottom"/>
            <w:hideMark/>
          </w:tcPr>
          <w:p w14:paraId="666C6E0E"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b/>
                <w:bCs/>
                <w:color w:val="212121"/>
                <w:lang w:eastAsia="it-IT"/>
              </w:rPr>
              <w:t>Dec 31, 2023</w:t>
            </w:r>
          </w:p>
        </w:tc>
      </w:tr>
      <w:tr w:rsidR="00BE3951" w:rsidRPr="00BE3951" w14:paraId="015E0FAA" w14:textId="77777777" w:rsidTr="006E0488">
        <w:tc>
          <w:tcPr>
            <w:tcW w:w="4395" w:type="dxa"/>
            <w:vAlign w:val="bottom"/>
            <w:hideMark/>
          </w:tcPr>
          <w:p w14:paraId="33892AC2" w14:textId="77777777" w:rsidR="00BE3951" w:rsidRPr="00BE3951" w:rsidRDefault="00BE3951" w:rsidP="00BE3951">
            <w:pPr>
              <w:shd w:val="clear" w:color="auto" w:fill="FFFFFF"/>
              <w:spacing w:after="0" w:line="240" w:lineRule="auto"/>
              <w:jc w:val="both"/>
              <w:rPr>
                <w:rFonts w:ascii="Overpass" w:eastAsia="Times New Roman" w:hAnsi="Overpass" w:cs="Calibri"/>
                <w:color w:val="212121"/>
                <w:lang w:eastAsia="it-IT"/>
              </w:rPr>
            </w:pPr>
            <w:r w:rsidRPr="00BE3951">
              <w:rPr>
                <w:rFonts w:ascii="Overpass" w:eastAsia="Times New Roman" w:hAnsi="Overpass" w:cs="Calibri"/>
                <w:color w:val="212121"/>
                <w:lang w:eastAsia="it-IT"/>
              </w:rPr>
              <w:t> </w:t>
            </w:r>
          </w:p>
        </w:tc>
        <w:tc>
          <w:tcPr>
            <w:tcW w:w="1611" w:type="dxa"/>
            <w:vAlign w:val="bottom"/>
            <w:hideMark/>
          </w:tcPr>
          <w:p w14:paraId="303A35E2"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b/>
                <w:bCs/>
                <w:i/>
                <w:iCs/>
                <w:color w:val="212121"/>
                <w:lang w:eastAsia="it-IT"/>
              </w:rPr>
              <w:t>US$</w:t>
            </w:r>
          </w:p>
        </w:tc>
        <w:tc>
          <w:tcPr>
            <w:tcW w:w="515" w:type="dxa"/>
            <w:vAlign w:val="bottom"/>
            <w:hideMark/>
          </w:tcPr>
          <w:p w14:paraId="4431FE09" w14:textId="77777777" w:rsidR="00BE3951" w:rsidRPr="00BE3951" w:rsidRDefault="00BE3951" w:rsidP="00BE3951">
            <w:pPr>
              <w:shd w:val="clear" w:color="auto" w:fill="FFFFFF"/>
              <w:spacing w:after="0" w:line="240" w:lineRule="auto"/>
              <w:jc w:val="both"/>
              <w:rPr>
                <w:rFonts w:ascii="Overpass" w:eastAsia="Times New Roman" w:hAnsi="Overpass" w:cs="Calibri"/>
                <w:color w:val="212121"/>
                <w:lang w:eastAsia="it-IT"/>
              </w:rPr>
            </w:pPr>
            <w:r w:rsidRPr="00BE3951">
              <w:rPr>
                <w:rFonts w:ascii="Overpass" w:eastAsia="Times New Roman" w:hAnsi="Overpass" w:cs="Calibri"/>
                <w:color w:val="212121"/>
                <w:lang w:eastAsia="it-IT"/>
              </w:rPr>
              <w:t> </w:t>
            </w:r>
          </w:p>
        </w:tc>
        <w:tc>
          <w:tcPr>
            <w:tcW w:w="2551" w:type="dxa"/>
            <w:vAlign w:val="bottom"/>
            <w:hideMark/>
          </w:tcPr>
          <w:p w14:paraId="4CEB7E6E"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b/>
                <w:bCs/>
                <w:i/>
                <w:iCs/>
                <w:color w:val="212121"/>
                <w:lang w:eastAsia="it-IT"/>
              </w:rPr>
              <w:t>US$</w:t>
            </w:r>
          </w:p>
        </w:tc>
      </w:tr>
      <w:tr w:rsidR="00BE3951" w:rsidRPr="00BE3951" w14:paraId="7EBFD518" w14:textId="77777777" w:rsidTr="006E0488">
        <w:tc>
          <w:tcPr>
            <w:tcW w:w="4395" w:type="dxa"/>
            <w:vAlign w:val="bottom"/>
            <w:hideMark/>
          </w:tcPr>
          <w:p w14:paraId="108BAE19" w14:textId="77777777" w:rsidR="00BE3951" w:rsidRPr="00BE3951" w:rsidRDefault="00BE3951" w:rsidP="00BE3951">
            <w:pPr>
              <w:shd w:val="clear" w:color="auto" w:fill="FFFFFF"/>
              <w:spacing w:after="0" w:line="240" w:lineRule="auto"/>
              <w:jc w:val="both"/>
              <w:rPr>
                <w:rFonts w:ascii="Overpass" w:eastAsia="Times New Roman" w:hAnsi="Overpass" w:cs="Calibri"/>
                <w:color w:val="212121"/>
                <w:lang w:eastAsia="it-IT"/>
              </w:rPr>
            </w:pPr>
            <w:r w:rsidRPr="00BE3951">
              <w:rPr>
                <w:rFonts w:ascii="Overpass" w:eastAsia="Times New Roman" w:hAnsi="Overpass" w:cs="Calibri"/>
                <w:b/>
                <w:bCs/>
                <w:color w:val="212121"/>
                <w:lang w:eastAsia="it-IT"/>
              </w:rPr>
              <w:t>MEZZANINE EQUITY</w:t>
            </w:r>
          </w:p>
        </w:tc>
        <w:tc>
          <w:tcPr>
            <w:tcW w:w="1611" w:type="dxa"/>
            <w:vAlign w:val="bottom"/>
            <w:hideMark/>
          </w:tcPr>
          <w:p w14:paraId="59A2B78B"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 </w:t>
            </w:r>
          </w:p>
        </w:tc>
        <w:tc>
          <w:tcPr>
            <w:tcW w:w="515" w:type="dxa"/>
            <w:vAlign w:val="bottom"/>
            <w:hideMark/>
          </w:tcPr>
          <w:p w14:paraId="52683942" w14:textId="77777777" w:rsidR="00BE3951" w:rsidRPr="00BE3951" w:rsidRDefault="00BE3951" w:rsidP="00BE3951">
            <w:pPr>
              <w:shd w:val="clear" w:color="auto" w:fill="FFFFFF"/>
              <w:spacing w:after="0" w:line="240" w:lineRule="auto"/>
              <w:jc w:val="both"/>
              <w:rPr>
                <w:rFonts w:ascii="Overpass" w:eastAsia="Times New Roman" w:hAnsi="Overpass" w:cs="Calibri"/>
                <w:color w:val="212121"/>
                <w:lang w:eastAsia="it-IT"/>
              </w:rPr>
            </w:pPr>
            <w:r w:rsidRPr="00BE3951">
              <w:rPr>
                <w:rFonts w:ascii="Overpass" w:eastAsia="Times New Roman" w:hAnsi="Overpass" w:cs="Calibri"/>
                <w:color w:val="212121"/>
                <w:lang w:eastAsia="it-IT"/>
              </w:rPr>
              <w:t> </w:t>
            </w:r>
          </w:p>
        </w:tc>
        <w:tc>
          <w:tcPr>
            <w:tcW w:w="2551" w:type="dxa"/>
            <w:vAlign w:val="bottom"/>
            <w:hideMark/>
          </w:tcPr>
          <w:p w14:paraId="03696E79"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 </w:t>
            </w:r>
          </w:p>
        </w:tc>
      </w:tr>
      <w:tr w:rsidR="00BE3951" w:rsidRPr="00BE3951" w14:paraId="0196D5E7" w14:textId="77777777" w:rsidTr="006E0488">
        <w:tc>
          <w:tcPr>
            <w:tcW w:w="4395" w:type="dxa"/>
            <w:vAlign w:val="bottom"/>
            <w:hideMark/>
          </w:tcPr>
          <w:p w14:paraId="205F0251" w14:textId="77777777" w:rsidR="00BE3951" w:rsidRPr="00BE3951" w:rsidRDefault="00BE3951" w:rsidP="00BE3951">
            <w:pPr>
              <w:shd w:val="clear" w:color="auto" w:fill="FFFFFF"/>
              <w:spacing w:after="0" w:line="240" w:lineRule="auto"/>
              <w:jc w:val="both"/>
              <w:rPr>
                <w:rFonts w:ascii="Overpass" w:eastAsia="Times New Roman" w:hAnsi="Overpass" w:cs="Calibri"/>
                <w:color w:val="212121"/>
                <w:lang w:eastAsia="it-IT"/>
              </w:rPr>
            </w:pPr>
            <w:r w:rsidRPr="00BE3951">
              <w:rPr>
                <w:rFonts w:ascii="Overpass" w:eastAsia="Times New Roman" w:hAnsi="Overpass" w:cs="Calibri"/>
                <w:color w:val="212121"/>
                <w:lang w:eastAsia="it-IT"/>
              </w:rPr>
              <w:t>Series Pre-A Redeemable Convertible Preferred Shares</w:t>
            </w:r>
          </w:p>
        </w:tc>
        <w:tc>
          <w:tcPr>
            <w:tcW w:w="1611" w:type="dxa"/>
            <w:tcMar>
              <w:top w:w="15" w:type="dxa"/>
              <w:left w:w="15" w:type="dxa"/>
              <w:bottom w:w="15" w:type="dxa"/>
              <w:right w:w="0" w:type="dxa"/>
            </w:tcMar>
            <w:vAlign w:val="bottom"/>
            <w:hideMark/>
          </w:tcPr>
          <w:p w14:paraId="77E895FE"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w:t>
            </w:r>
          </w:p>
        </w:tc>
        <w:tc>
          <w:tcPr>
            <w:tcW w:w="515" w:type="dxa"/>
            <w:vAlign w:val="bottom"/>
            <w:hideMark/>
          </w:tcPr>
          <w:p w14:paraId="30CF36CC" w14:textId="77777777" w:rsidR="00BE3951" w:rsidRPr="00BE3951" w:rsidRDefault="00BE3951" w:rsidP="00BE3951">
            <w:pPr>
              <w:shd w:val="clear" w:color="auto" w:fill="FFFFFF"/>
              <w:spacing w:after="0" w:line="240" w:lineRule="auto"/>
              <w:jc w:val="both"/>
              <w:rPr>
                <w:rFonts w:ascii="Overpass" w:eastAsia="Times New Roman" w:hAnsi="Overpass" w:cs="Calibri"/>
                <w:color w:val="212121"/>
                <w:lang w:eastAsia="it-IT"/>
              </w:rPr>
            </w:pPr>
            <w:r w:rsidRPr="00BE3951">
              <w:rPr>
                <w:rFonts w:ascii="Overpass" w:eastAsia="Times New Roman" w:hAnsi="Overpass" w:cs="Calibri"/>
                <w:color w:val="212121"/>
                <w:lang w:eastAsia="it-IT"/>
              </w:rPr>
              <w:t> </w:t>
            </w:r>
          </w:p>
        </w:tc>
        <w:tc>
          <w:tcPr>
            <w:tcW w:w="2551" w:type="dxa"/>
            <w:tcMar>
              <w:top w:w="15" w:type="dxa"/>
              <w:left w:w="15" w:type="dxa"/>
              <w:bottom w:w="15" w:type="dxa"/>
              <w:right w:w="0" w:type="dxa"/>
            </w:tcMar>
            <w:vAlign w:val="bottom"/>
            <w:hideMark/>
          </w:tcPr>
          <w:p w14:paraId="1875FDD0"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184,509</w:t>
            </w:r>
          </w:p>
        </w:tc>
      </w:tr>
      <w:tr w:rsidR="00BE3951" w:rsidRPr="00BE3951" w14:paraId="02C55636" w14:textId="77777777" w:rsidTr="006E0488">
        <w:tc>
          <w:tcPr>
            <w:tcW w:w="4395" w:type="dxa"/>
            <w:vAlign w:val="bottom"/>
            <w:hideMark/>
          </w:tcPr>
          <w:p w14:paraId="1298C162" w14:textId="77777777" w:rsidR="00BE3951" w:rsidRPr="00BE3951" w:rsidRDefault="00BE3951" w:rsidP="00BE3951">
            <w:pPr>
              <w:shd w:val="clear" w:color="auto" w:fill="FFFFFF"/>
              <w:spacing w:after="0" w:line="240" w:lineRule="auto"/>
              <w:jc w:val="both"/>
              <w:rPr>
                <w:rFonts w:ascii="Overpass" w:eastAsia="Times New Roman" w:hAnsi="Overpass" w:cs="Calibri"/>
                <w:color w:val="212121"/>
                <w:lang w:eastAsia="it-IT"/>
              </w:rPr>
            </w:pPr>
            <w:r w:rsidRPr="00BE3951">
              <w:rPr>
                <w:rFonts w:ascii="Overpass" w:eastAsia="Times New Roman" w:hAnsi="Overpass" w:cs="Calibri"/>
                <w:color w:val="212121"/>
                <w:lang w:eastAsia="it-IT"/>
              </w:rPr>
              <w:t>Series A Redeemable Convertible Preferred Shares</w:t>
            </w:r>
          </w:p>
        </w:tc>
        <w:tc>
          <w:tcPr>
            <w:tcW w:w="1611" w:type="dxa"/>
            <w:tcBorders>
              <w:bottom w:val="single" w:sz="8" w:space="0" w:color="000000"/>
            </w:tcBorders>
            <w:tcMar>
              <w:top w:w="15" w:type="dxa"/>
              <w:left w:w="15" w:type="dxa"/>
              <w:bottom w:w="15" w:type="dxa"/>
              <w:right w:w="0" w:type="dxa"/>
            </w:tcMar>
            <w:vAlign w:val="bottom"/>
            <w:hideMark/>
          </w:tcPr>
          <w:p w14:paraId="093F8481"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w:t>
            </w:r>
          </w:p>
        </w:tc>
        <w:tc>
          <w:tcPr>
            <w:tcW w:w="515" w:type="dxa"/>
            <w:vAlign w:val="bottom"/>
            <w:hideMark/>
          </w:tcPr>
          <w:p w14:paraId="64CAF4CF" w14:textId="77777777" w:rsidR="00BE3951" w:rsidRPr="00BE3951" w:rsidRDefault="00BE3951" w:rsidP="00BE3951">
            <w:pPr>
              <w:shd w:val="clear" w:color="auto" w:fill="FFFFFF"/>
              <w:spacing w:after="0" w:line="240" w:lineRule="auto"/>
              <w:jc w:val="both"/>
              <w:rPr>
                <w:rFonts w:ascii="Overpass" w:eastAsia="Times New Roman" w:hAnsi="Overpass" w:cs="Calibri"/>
                <w:color w:val="212121"/>
                <w:lang w:eastAsia="it-IT"/>
              </w:rPr>
            </w:pPr>
            <w:r w:rsidRPr="00BE3951">
              <w:rPr>
                <w:rFonts w:ascii="Overpass" w:eastAsia="Times New Roman" w:hAnsi="Overpass" w:cs="Calibri"/>
                <w:color w:val="212121"/>
                <w:lang w:eastAsia="it-IT"/>
              </w:rPr>
              <w:t> </w:t>
            </w:r>
          </w:p>
        </w:tc>
        <w:tc>
          <w:tcPr>
            <w:tcW w:w="2551" w:type="dxa"/>
            <w:tcBorders>
              <w:bottom w:val="single" w:sz="8" w:space="0" w:color="000000"/>
            </w:tcBorders>
            <w:tcMar>
              <w:top w:w="15" w:type="dxa"/>
              <w:left w:w="15" w:type="dxa"/>
              <w:bottom w:w="15" w:type="dxa"/>
              <w:right w:w="0" w:type="dxa"/>
            </w:tcMar>
            <w:vAlign w:val="bottom"/>
            <w:hideMark/>
          </w:tcPr>
          <w:p w14:paraId="591E8446"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199,021</w:t>
            </w:r>
          </w:p>
        </w:tc>
      </w:tr>
      <w:tr w:rsidR="00BE3951" w:rsidRPr="00BE3951" w14:paraId="07F274A9" w14:textId="77777777" w:rsidTr="006E0488">
        <w:tc>
          <w:tcPr>
            <w:tcW w:w="4395" w:type="dxa"/>
            <w:vAlign w:val="bottom"/>
            <w:hideMark/>
          </w:tcPr>
          <w:p w14:paraId="678914DB" w14:textId="77777777" w:rsidR="00BE3951" w:rsidRPr="00BE3951" w:rsidRDefault="00BE3951" w:rsidP="00BE3951">
            <w:pPr>
              <w:shd w:val="clear" w:color="auto" w:fill="FFFFFF"/>
              <w:spacing w:after="0" w:line="240" w:lineRule="auto"/>
              <w:jc w:val="both"/>
              <w:rPr>
                <w:rFonts w:ascii="Overpass" w:eastAsia="Times New Roman" w:hAnsi="Overpass" w:cs="Calibri"/>
                <w:color w:val="212121"/>
                <w:lang w:eastAsia="it-IT"/>
              </w:rPr>
            </w:pPr>
            <w:r w:rsidRPr="00BE3951">
              <w:rPr>
                <w:rFonts w:ascii="Overpass" w:eastAsia="Times New Roman" w:hAnsi="Overpass" w:cs="Calibri"/>
                <w:color w:val="212121"/>
                <w:lang w:eastAsia="it-IT"/>
              </w:rPr>
              <w:t> </w:t>
            </w:r>
          </w:p>
        </w:tc>
        <w:tc>
          <w:tcPr>
            <w:tcW w:w="1611" w:type="dxa"/>
            <w:vAlign w:val="bottom"/>
            <w:hideMark/>
          </w:tcPr>
          <w:p w14:paraId="10F1FB18"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 </w:t>
            </w:r>
          </w:p>
        </w:tc>
        <w:tc>
          <w:tcPr>
            <w:tcW w:w="515" w:type="dxa"/>
            <w:vAlign w:val="bottom"/>
            <w:hideMark/>
          </w:tcPr>
          <w:p w14:paraId="2E3A708E" w14:textId="77777777" w:rsidR="00BE3951" w:rsidRPr="00BE3951" w:rsidRDefault="00BE3951" w:rsidP="00BE3951">
            <w:pPr>
              <w:shd w:val="clear" w:color="auto" w:fill="FFFFFF"/>
              <w:spacing w:after="0" w:line="240" w:lineRule="auto"/>
              <w:jc w:val="both"/>
              <w:rPr>
                <w:rFonts w:ascii="Overpass" w:eastAsia="Times New Roman" w:hAnsi="Overpass" w:cs="Calibri"/>
                <w:color w:val="212121"/>
                <w:lang w:eastAsia="it-IT"/>
              </w:rPr>
            </w:pPr>
            <w:r w:rsidRPr="00BE3951">
              <w:rPr>
                <w:rFonts w:ascii="Overpass" w:eastAsia="Times New Roman" w:hAnsi="Overpass" w:cs="Calibri"/>
                <w:color w:val="212121"/>
                <w:lang w:eastAsia="it-IT"/>
              </w:rPr>
              <w:t> </w:t>
            </w:r>
          </w:p>
        </w:tc>
        <w:tc>
          <w:tcPr>
            <w:tcW w:w="2551" w:type="dxa"/>
            <w:vAlign w:val="bottom"/>
            <w:hideMark/>
          </w:tcPr>
          <w:p w14:paraId="12FCD134"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 </w:t>
            </w:r>
          </w:p>
        </w:tc>
      </w:tr>
      <w:tr w:rsidR="00BE3951" w:rsidRPr="00BE3951" w14:paraId="17553552" w14:textId="77777777" w:rsidTr="006E0488">
        <w:tc>
          <w:tcPr>
            <w:tcW w:w="4395" w:type="dxa"/>
            <w:vAlign w:val="bottom"/>
            <w:hideMark/>
          </w:tcPr>
          <w:p w14:paraId="7B7236C8" w14:textId="77777777" w:rsidR="00BE3951" w:rsidRPr="00BE3951" w:rsidRDefault="00BE3951" w:rsidP="00BE3951">
            <w:pPr>
              <w:shd w:val="clear" w:color="auto" w:fill="FFFFFF"/>
              <w:spacing w:after="0" w:line="240" w:lineRule="auto"/>
              <w:jc w:val="both"/>
              <w:rPr>
                <w:rFonts w:ascii="Overpass" w:eastAsia="Times New Roman" w:hAnsi="Overpass" w:cs="Calibri"/>
                <w:color w:val="212121"/>
                <w:lang w:eastAsia="it-IT"/>
              </w:rPr>
            </w:pPr>
            <w:r w:rsidRPr="00BE3951">
              <w:rPr>
                <w:rFonts w:ascii="Overpass" w:eastAsia="Times New Roman" w:hAnsi="Overpass" w:cs="Calibri"/>
                <w:b/>
                <w:bCs/>
                <w:color w:val="212121"/>
                <w:lang w:eastAsia="it-IT"/>
              </w:rPr>
              <w:t>Total mezzanine equity</w:t>
            </w:r>
          </w:p>
        </w:tc>
        <w:tc>
          <w:tcPr>
            <w:tcW w:w="1611" w:type="dxa"/>
            <w:tcBorders>
              <w:bottom w:val="single" w:sz="8" w:space="0" w:color="000000"/>
            </w:tcBorders>
            <w:tcMar>
              <w:top w:w="15" w:type="dxa"/>
              <w:left w:w="15" w:type="dxa"/>
              <w:bottom w:w="15" w:type="dxa"/>
              <w:right w:w="0" w:type="dxa"/>
            </w:tcMar>
            <w:vAlign w:val="bottom"/>
            <w:hideMark/>
          </w:tcPr>
          <w:p w14:paraId="67AC8A1E"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b/>
                <w:bCs/>
                <w:color w:val="212121"/>
                <w:lang w:eastAsia="it-IT"/>
              </w:rPr>
              <w:t>-</w:t>
            </w:r>
          </w:p>
        </w:tc>
        <w:tc>
          <w:tcPr>
            <w:tcW w:w="515" w:type="dxa"/>
            <w:vAlign w:val="bottom"/>
            <w:hideMark/>
          </w:tcPr>
          <w:p w14:paraId="613B9DA7" w14:textId="77777777" w:rsidR="00BE3951" w:rsidRPr="00BE3951" w:rsidRDefault="00BE3951" w:rsidP="00BE3951">
            <w:pPr>
              <w:shd w:val="clear" w:color="auto" w:fill="FFFFFF"/>
              <w:spacing w:after="0" w:line="240" w:lineRule="auto"/>
              <w:jc w:val="both"/>
              <w:rPr>
                <w:rFonts w:ascii="Overpass" w:eastAsia="Times New Roman" w:hAnsi="Overpass" w:cs="Calibri"/>
                <w:color w:val="212121"/>
                <w:lang w:eastAsia="it-IT"/>
              </w:rPr>
            </w:pPr>
            <w:r w:rsidRPr="00BE3951">
              <w:rPr>
                <w:rFonts w:ascii="Overpass" w:eastAsia="Times New Roman" w:hAnsi="Overpass" w:cs="Calibri"/>
                <w:color w:val="212121"/>
                <w:lang w:eastAsia="it-IT"/>
              </w:rPr>
              <w:t> </w:t>
            </w:r>
          </w:p>
        </w:tc>
        <w:tc>
          <w:tcPr>
            <w:tcW w:w="2551" w:type="dxa"/>
            <w:tcBorders>
              <w:bottom w:val="single" w:sz="8" w:space="0" w:color="000000"/>
            </w:tcBorders>
            <w:tcMar>
              <w:top w:w="15" w:type="dxa"/>
              <w:left w:w="15" w:type="dxa"/>
              <w:bottom w:w="15" w:type="dxa"/>
              <w:right w:w="0" w:type="dxa"/>
            </w:tcMar>
            <w:vAlign w:val="bottom"/>
            <w:hideMark/>
          </w:tcPr>
          <w:p w14:paraId="471BFA11"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b/>
                <w:bCs/>
                <w:color w:val="212121"/>
                <w:lang w:eastAsia="it-IT"/>
              </w:rPr>
              <w:t>383,530</w:t>
            </w:r>
          </w:p>
        </w:tc>
      </w:tr>
      <w:tr w:rsidR="00BE3951" w:rsidRPr="00BE3951" w14:paraId="74BA5813" w14:textId="77777777" w:rsidTr="006E0488">
        <w:tc>
          <w:tcPr>
            <w:tcW w:w="4395" w:type="dxa"/>
            <w:vAlign w:val="bottom"/>
            <w:hideMark/>
          </w:tcPr>
          <w:p w14:paraId="3AEB47C8" w14:textId="77777777" w:rsidR="00BE3951" w:rsidRPr="00BE3951" w:rsidRDefault="00BE3951" w:rsidP="00BE3951">
            <w:pPr>
              <w:shd w:val="clear" w:color="auto" w:fill="FFFFFF"/>
              <w:spacing w:after="0" w:line="240" w:lineRule="auto"/>
              <w:jc w:val="both"/>
              <w:rPr>
                <w:rFonts w:ascii="Overpass" w:eastAsia="Times New Roman" w:hAnsi="Overpass" w:cs="Calibri"/>
                <w:color w:val="212121"/>
                <w:lang w:eastAsia="it-IT"/>
              </w:rPr>
            </w:pPr>
            <w:r w:rsidRPr="00BE3951">
              <w:rPr>
                <w:rFonts w:ascii="Overpass" w:eastAsia="Times New Roman" w:hAnsi="Overpass" w:cs="Calibri"/>
                <w:color w:val="212121"/>
                <w:lang w:eastAsia="it-IT"/>
              </w:rPr>
              <w:lastRenderedPageBreak/>
              <w:t> </w:t>
            </w:r>
          </w:p>
        </w:tc>
        <w:tc>
          <w:tcPr>
            <w:tcW w:w="1611" w:type="dxa"/>
            <w:vAlign w:val="bottom"/>
            <w:hideMark/>
          </w:tcPr>
          <w:p w14:paraId="6F2D97F3"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 </w:t>
            </w:r>
          </w:p>
        </w:tc>
        <w:tc>
          <w:tcPr>
            <w:tcW w:w="515" w:type="dxa"/>
            <w:vAlign w:val="bottom"/>
            <w:hideMark/>
          </w:tcPr>
          <w:p w14:paraId="432B2C61" w14:textId="77777777" w:rsidR="00BE3951" w:rsidRPr="00BE3951" w:rsidRDefault="00BE3951" w:rsidP="00BE3951">
            <w:pPr>
              <w:shd w:val="clear" w:color="auto" w:fill="FFFFFF"/>
              <w:spacing w:after="0" w:line="240" w:lineRule="auto"/>
              <w:jc w:val="both"/>
              <w:rPr>
                <w:rFonts w:ascii="Overpass" w:eastAsia="Times New Roman" w:hAnsi="Overpass" w:cs="Calibri"/>
                <w:color w:val="212121"/>
                <w:lang w:eastAsia="it-IT"/>
              </w:rPr>
            </w:pPr>
            <w:r w:rsidRPr="00BE3951">
              <w:rPr>
                <w:rFonts w:ascii="Overpass" w:eastAsia="Times New Roman" w:hAnsi="Overpass" w:cs="Calibri"/>
                <w:color w:val="212121"/>
                <w:lang w:eastAsia="it-IT"/>
              </w:rPr>
              <w:t> </w:t>
            </w:r>
          </w:p>
        </w:tc>
        <w:tc>
          <w:tcPr>
            <w:tcW w:w="2551" w:type="dxa"/>
            <w:vAlign w:val="bottom"/>
            <w:hideMark/>
          </w:tcPr>
          <w:p w14:paraId="6A525CAD"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 </w:t>
            </w:r>
          </w:p>
        </w:tc>
      </w:tr>
      <w:tr w:rsidR="00BE3951" w:rsidRPr="00BE3951" w14:paraId="7136DC75" w14:textId="77777777" w:rsidTr="006E0488">
        <w:tc>
          <w:tcPr>
            <w:tcW w:w="4395" w:type="dxa"/>
            <w:vAlign w:val="bottom"/>
            <w:hideMark/>
          </w:tcPr>
          <w:p w14:paraId="2BD1BB14" w14:textId="77777777" w:rsidR="00BE3951" w:rsidRPr="00BE3951" w:rsidRDefault="00BE3951" w:rsidP="00BE3951">
            <w:pPr>
              <w:shd w:val="clear" w:color="auto" w:fill="FFFFFF"/>
              <w:spacing w:after="0" w:line="240" w:lineRule="auto"/>
              <w:jc w:val="both"/>
              <w:rPr>
                <w:rFonts w:ascii="Overpass" w:eastAsia="Times New Roman" w:hAnsi="Overpass" w:cs="Calibri"/>
                <w:color w:val="212121"/>
                <w:lang w:eastAsia="it-IT"/>
              </w:rPr>
            </w:pPr>
            <w:r w:rsidRPr="00BE3951">
              <w:rPr>
                <w:rFonts w:ascii="Overpass" w:eastAsia="Times New Roman" w:hAnsi="Overpass" w:cs="Calibri"/>
                <w:color w:val="212121"/>
                <w:lang w:eastAsia="it-IT"/>
              </w:rPr>
              <w:t> </w:t>
            </w:r>
          </w:p>
        </w:tc>
        <w:tc>
          <w:tcPr>
            <w:tcW w:w="1611" w:type="dxa"/>
            <w:vAlign w:val="bottom"/>
            <w:hideMark/>
          </w:tcPr>
          <w:p w14:paraId="2802B094"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 </w:t>
            </w:r>
          </w:p>
        </w:tc>
        <w:tc>
          <w:tcPr>
            <w:tcW w:w="515" w:type="dxa"/>
            <w:vAlign w:val="bottom"/>
            <w:hideMark/>
          </w:tcPr>
          <w:p w14:paraId="0A3CEE18" w14:textId="77777777" w:rsidR="00BE3951" w:rsidRPr="00BE3951" w:rsidRDefault="00BE3951" w:rsidP="00BE3951">
            <w:pPr>
              <w:shd w:val="clear" w:color="auto" w:fill="FFFFFF"/>
              <w:spacing w:after="0" w:line="240" w:lineRule="auto"/>
              <w:jc w:val="both"/>
              <w:rPr>
                <w:rFonts w:ascii="Overpass" w:eastAsia="Times New Roman" w:hAnsi="Overpass" w:cs="Calibri"/>
                <w:color w:val="212121"/>
                <w:lang w:eastAsia="it-IT"/>
              </w:rPr>
            </w:pPr>
            <w:r w:rsidRPr="00BE3951">
              <w:rPr>
                <w:rFonts w:ascii="Overpass" w:eastAsia="Times New Roman" w:hAnsi="Overpass" w:cs="Calibri"/>
                <w:color w:val="212121"/>
                <w:lang w:eastAsia="it-IT"/>
              </w:rPr>
              <w:t> </w:t>
            </w:r>
          </w:p>
        </w:tc>
        <w:tc>
          <w:tcPr>
            <w:tcW w:w="2551" w:type="dxa"/>
            <w:vAlign w:val="bottom"/>
            <w:hideMark/>
          </w:tcPr>
          <w:p w14:paraId="5E86B767"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 </w:t>
            </w:r>
          </w:p>
        </w:tc>
      </w:tr>
      <w:tr w:rsidR="00BE3951" w:rsidRPr="00BE3951" w14:paraId="685EF017" w14:textId="77777777" w:rsidTr="006E0488">
        <w:tc>
          <w:tcPr>
            <w:tcW w:w="4395" w:type="dxa"/>
            <w:vAlign w:val="bottom"/>
            <w:hideMark/>
          </w:tcPr>
          <w:p w14:paraId="60B45FE0" w14:textId="77777777" w:rsidR="00BE3951" w:rsidRPr="00BE3951" w:rsidRDefault="00BE3951" w:rsidP="00BE3951">
            <w:pPr>
              <w:shd w:val="clear" w:color="auto" w:fill="FFFFFF"/>
              <w:spacing w:after="0" w:line="240" w:lineRule="auto"/>
              <w:jc w:val="both"/>
              <w:rPr>
                <w:rFonts w:ascii="Overpass" w:eastAsia="Times New Roman" w:hAnsi="Overpass" w:cs="Calibri"/>
                <w:color w:val="212121"/>
                <w:lang w:eastAsia="it-IT"/>
              </w:rPr>
            </w:pPr>
            <w:r w:rsidRPr="00BE3951">
              <w:rPr>
                <w:rFonts w:ascii="Overpass" w:eastAsia="Times New Roman" w:hAnsi="Overpass" w:cs="Calibri"/>
                <w:b/>
                <w:bCs/>
                <w:color w:val="212121"/>
                <w:lang w:eastAsia="it-IT"/>
              </w:rPr>
              <w:t>SHAREHOLDERS’ EQUITY (DEFICIT)</w:t>
            </w:r>
          </w:p>
        </w:tc>
        <w:tc>
          <w:tcPr>
            <w:tcW w:w="1611" w:type="dxa"/>
            <w:vAlign w:val="bottom"/>
            <w:hideMark/>
          </w:tcPr>
          <w:p w14:paraId="02CEF975"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 </w:t>
            </w:r>
          </w:p>
        </w:tc>
        <w:tc>
          <w:tcPr>
            <w:tcW w:w="515" w:type="dxa"/>
            <w:vAlign w:val="bottom"/>
            <w:hideMark/>
          </w:tcPr>
          <w:p w14:paraId="5944B241" w14:textId="77777777" w:rsidR="00BE3951" w:rsidRPr="00BE3951" w:rsidRDefault="00BE3951" w:rsidP="00BE3951">
            <w:pPr>
              <w:shd w:val="clear" w:color="auto" w:fill="FFFFFF"/>
              <w:spacing w:after="0" w:line="240" w:lineRule="auto"/>
              <w:jc w:val="both"/>
              <w:rPr>
                <w:rFonts w:ascii="Overpass" w:eastAsia="Times New Roman" w:hAnsi="Overpass" w:cs="Calibri"/>
                <w:color w:val="212121"/>
                <w:lang w:eastAsia="it-IT"/>
              </w:rPr>
            </w:pPr>
            <w:r w:rsidRPr="00BE3951">
              <w:rPr>
                <w:rFonts w:ascii="Overpass" w:eastAsia="Times New Roman" w:hAnsi="Overpass" w:cs="Calibri"/>
                <w:color w:val="212121"/>
                <w:lang w:eastAsia="it-IT"/>
              </w:rPr>
              <w:t> </w:t>
            </w:r>
          </w:p>
        </w:tc>
        <w:tc>
          <w:tcPr>
            <w:tcW w:w="2551" w:type="dxa"/>
            <w:vAlign w:val="bottom"/>
            <w:hideMark/>
          </w:tcPr>
          <w:p w14:paraId="3B773CA9"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 </w:t>
            </w:r>
          </w:p>
        </w:tc>
      </w:tr>
      <w:tr w:rsidR="00BE3951" w:rsidRPr="00BE3951" w14:paraId="5E5CDEF7" w14:textId="77777777" w:rsidTr="006E0488">
        <w:tc>
          <w:tcPr>
            <w:tcW w:w="4395" w:type="dxa"/>
            <w:vAlign w:val="bottom"/>
            <w:hideMark/>
          </w:tcPr>
          <w:p w14:paraId="1D2D9440" w14:textId="77777777" w:rsidR="00BE3951" w:rsidRPr="00BE3951" w:rsidRDefault="00BE3951" w:rsidP="00BE3951">
            <w:pPr>
              <w:shd w:val="clear" w:color="auto" w:fill="FFFFFF"/>
              <w:spacing w:after="0" w:line="240" w:lineRule="auto"/>
              <w:jc w:val="both"/>
              <w:rPr>
                <w:rFonts w:ascii="Overpass" w:eastAsia="Times New Roman" w:hAnsi="Overpass" w:cs="Calibri"/>
                <w:color w:val="212121"/>
                <w:lang w:eastAsia="it-IT"/>
              </w:rPr>
            </w:pPr>
            <w:r w:rsidRPr="00BE3951">
              <w:rPr>
                <w:rFonts w:ascii="Overpass" w:eastAsia="Times New Roman" w:hAnsi="Overpass" w:cs="Calibri"/>
                <w:color w:val="212121"/>
                <w:lang w:eastAsia="it-IT"/>
              </w:rPr>
              <w:t>Ordinary shares</w:t>
            </w:r>
          </w:p>
        </w:tc>
        <w:tc>
          <w:tcPr>
            <w:tcW w:w="1611" w:type="dxa"/>
            <w:tcMar>
              <w:top w:w="15" w:type="dxa"/>
              <w:left w:w="15" w:type="dxa"/>
              <w:bottom w:w="15" w:type="dxa"/>
              <w:right w:w="0" w:type="dxa"/>
            </w:tcMar>
            <w:vAlign w:val="bottom"/>
            <w:hideMark/>
          </w:tcPr>
          <w:p w14:paraId="789D1252"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7</w:t>
            </w:r>
          </w:p>
        </w:tc>
        <w:tc>
          <w:tcPr>
            <w:tcW w:w="515" w:type="dxa"/>
            <w:vAlign w:val="bottom"/>
            <w:hideMark/>
          </w:tcPr>
          <w:p w14:paraId="3CD4C109" w14:textId="77777777" w:rsidR="00BE3951" w:rsidRPr="00BE3951" w:rsidRDefault="00BE3951" w:rsidP="00BE3951">
            <w:pPr>
              <w:shd w:val="clear" w:color="auto" w:fill="FFFFFF"/>
              <w:spacing w:after="0" w:line="240" w:lineRule="auto"/>
              <w:jc w:val="both"/>
              <w:rPr>
                <w:rFonts w:ascii="Overpass" w:eastAsia="Times New Roman" w:hAnsi="Overpass" w:cs="Calibri"/>
                <w:color w:val="212121"/>
                <w:lang w:eastAsia="it-IT"/>
              </w:rPr>
            </w:pPr>
            <w:r w:rsidRPr="00BE3951">
              <w:rPr>
                <w:rFonts w:ascii="Overpass" w:eastAsia="Times New Roman" w:hAnsi="Overpass" w:cs="Calibri"/>
                <w:color w:val="212121"/>
                <w:lang w:eastAsia="it-IT"/>
              </w:rPr>
              <w:t> </w:t>
            </w:r>
          </w:p>
        </w:tc>
        <w:tc>
          <w:tcPr>
            <w:tcW w:w="2551" w:type="dxa"/>
            <w:tcMar>
              <w:top w:w="15" w:type="dxa"/>
              <w:left w:w="15" w:type="dxa"/>
              <w:bottom w:w="15" w:type="dxa"/>
              <w:right w:w="0" w:type="dxa"/>
            </w:tcMar>
            <w:vAlign w:val="bottom"/>
            <w:hideMark/>
          </w:tcPr>
          <w:p w14:paraId="48FE49AA"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21</w:t>
            </w:r>
          </w:p>
        </w:tc>
      </w:tr>
      <w:tr w:rsidR="00BE3951" w:rsidRPr="00BE3951" w14:paraId="03530DB4" w14:textId="77777777" w:rsidTr="006E0488">
        <w:tc>
          <w:tcPr>
            <w:tcW w:w="4395" w:type="dxa"/>
            <w:vAlign w:val="bottom"/>
            <w:hideMark/>
          </w:tcPr>
          <w:p w14:paraId="2BE28C43" w14:textId="77777777" w:rsidR="00BE3951" w:rsidRPr="00BE3951" w:rsidRDefault="00BE3951" w:rsidP="00BE3951">
            <w:pPr>
              <w:shd w:val="clear" w:color="auto" w:fill="FFFFFF"/>
              <w:spacing w:after="0" w:line="240" w:lineRule="auto"/>
              <w:jc w:val="both"/>
              <w:rPr>
                <w:rFonts w:ascii="Overpass" w:eastAsia="Times New Roman" w:hAnsi="Overpass" w:cs="Calibri"/>
                <w:color w:val="212121"/>
                <w:lang w:eastAsia="it-IT"/>
              </w:rPr>
            </w:pPr>
            <w:r w:rsidRPr="00BE3951">
              <w:rPr>
                <w:rFonts w:ascii="Overpass" w:eastAsia="Times New Roman" w:hAnsi="Overpass" w:cs="Calibri"/>
                <w:color w:val="212121"/>
                <w:lang w:eastAsia="it-IT"/>
              </w:rPr>
              <w:t>Additional paid-in capital</w:t>
            </w:r>
          </w:p>
        </w:tc>
        <w:tc>
          <w:tcPr>
            <w:tcW w:w="1611" w:type="dxa"/>
            <w:tcMar>
              <w:top w:w="15" w:type="dxa"/>
              <w:left w:w="15" w:type="dxa"/>
              <w:bottom w:w="15" w:type="dxa"/>
              <w:right w:w="0" w:type="dxa"/>
            </w:tcMar>
            <w:vAlign w:val="bottom"/>
            <w:hideMark/>
          </w:tcPr>
          <w:p w14:paraId="2D2BBAB6"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1,848,517</w:t>
            </w:r>
          </w:p>
        </w:tc>
        <w:tc>
          <w:tcPr>
            <w:tcW w:w="515" w:type="dxa"/>
            <w:vAlign w:val="bottom"/>
            <w:hideMark/>
          </w:tcPr>
          <w:p w14:paraId="01A69FD4" w14:textId="77777777" w:rsidR="00BE3951" w:rsidRPr="00BE3951" w:rsidRDefault="00BE3951" w:rsidP="00BE3951">
            <w:pPr>
              <w:shd w:val="clear" w:color="auto" w:fill="FFFFFF"/>
              <w:spacing w:after="0" w:line="240" w:lineRule="auto"/>
              <w:jc w:val="both"/>
              <w:rPr>
                <w:rFonts w:ascii="Overpass" w:eastAsia="Times New Roman" w:hAnsi="Overpass" w:cs="Calibri"/>
                <w:color w:val="212121"/>
                <w:lang w:eastAsia="it-IT"/>
              </w:rPr>
            </w:pPr>
            <w:r w:rsidRPr="00BE3951">
              <w:rPr>
                <w:rFonts w:ascii="Overpass" w:eastAsia="Times New Roman" w:hAnsi="Overpass" w:cs="Calibri"/>
                <w:color w:val="212121"/>
                <w:lang w:eastAsia="it-IT"/>
              </w:rPr>
              <w:t> </w:t>
            </w:r>
          </w:p>
        </w:tc>
        <w:tc>
          <w:tcPr>
            <w:tcW w:w="2551" w:type="dxa"/>
            <w:tcMar>
              <w:top w:w="15" w:type="dxa"/>
              <w:left w:w="15" w:type="dxa"/>
              <w:bottom w:w="15" w:type="dxa"/>
              <w:right w:w="0" w:type="dxa"/>
            </w:tcMar>
            <w:vAlign w:val="bottom"/>
            <w:hideMark/>
          </w:tcPr>
          <w:p w14:paraId="704E34F8"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358,187</w:t>
            </w:r>
          </w:p>
        </w:tc>
      </w:tr>
      <w:tr w:rsidR="00BE3951" w:rsidRPr="00BE3951" w14:paraId="64C79E13" w14:textId="77777777" w:rsidTr="006E0488">
        <w:tc>
          <w:tcPr>
            <w:tcW w:w="4395" w:type="dxa"/>
            <w:vAlign w:val="bottom"/>
            <w:hideMark/>
          </w:tcPr>
          <w:p w14:paraId="244157C8" w14:textId="77777777" w:rsidR="00BE3951" w:rsidRPr="00BE3951" w:rsidRDefault="00BE3951" w:rsidP="00BE3951">
            <w:pPr>
              <w:shd w:val="clear" w:color="auto" w:fill="FFFFFF"/>
              <w:spacing w:after="0" w:line="240" w:lineRule="auto"/>
              <w:jc w:val="both"/>
              <w:rPr>
                <w:rFonts w:ascii="Overpass" w:eastAsia="Times New Roman" w:hAnsi="Overpass" w:cs="Calibri"/>
                <w:color w:val="212121"/>
                <w:lang w:eastAsia="it-IT"/>
              </w:rPr>
            </w:pPr>
            <w:r w:rsidRPr="00BE3951">
              <w:rPr>
                <w:rFonts w:ascii="Overpass" w:eastAsia="Times New Roman" w:hAnsi="Overpass" w:cs="Calibri"/>
                <w:color w:val="212121"/>
                <w:lang w:eastAsia="it-IT"/>
              </w:rPr>
              <w:t>Accumulated other comprehensive income</w:t>
            </w:r>
          </w:p>
        </w:tc>
        <w:tc>
          <w:tcPr>
            <w:tcW w:w="1611" w:type="dxa"/>
            <w:tcMar>
              <w:top w:w="15" w:type="dxa"/>
              <w:left w:w="15" w:type="dxa"/>
              <w:bottom w:w="15" w:type="dxa"/>
              <w:right w:w="0" w:type="dxa"/>
            </w:tcMar>
            <w:vAlign w:val="bottom"/>
            <w:hideMark/>
          </w:tcPr>
          <w:p w14:paraId="79D15FA2"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23,677</w:t>
            </w:r>
          </w:p>
        </w:tc>
        <w:tc>
          <w:tcPr>
            <w:tcW w:w="515" w:type="dxa"/>
            <w:vAlign w:val="bottom"/>
            <w:hideMark/>
          </w:tcPr>
          <w:p w14:paraId="704EC1BC" w14:textId="77777777" w:rsidR="00BE3951" w:rsidRPr="00BE3951" w:rsidRDefault="00BE3951" w:rsidP="00BE3951">
            <w:pPr>
              <w:shd w:val="clear" w:color="auto" w:fill="FFFFFF"/>
              <w:spacing w:after="0" w:line="240" w:lineRule="auto"/>
              <w:jc w:val="both"/>
              <w:rPr>
                <w:rFonts w:ascii="Overpass" w:eastAsia="Times New Roman" w:hAnsi="Overpass" w:cs="Calibri"/>
                <w:color w:val="212121"/>
                <w:lang w:eastAsia="it-IT"/>
              </w:rPr>
            </w:pPr>
            <w:r w:rsidRPr="00BE3951">
              <w:rPr>
                <w:rFonts w:ascii="Overpass" w:eastAsia="Times New Roman" w:hAnsi="Overpass" w:cs="Calibri"/>
                <w:color w:val="212121"/>
                <w:lang w:eastAsia="it-IT"/>
              </w:rPr>
              <w:t> </w:t>
            </w:r>
          </w:p>
        </w:tc>
        <w:tc>
          <w:tcPr>
            <w:tcW w:w="2551" w:type="dxa"/>
            <w:tcMar>
              <w:top w:w="15" w:type="dxa"/>
              <w:left w:w="15" w:type="dxa"/>
              <w:bottom w:w="15" w:type="dxa"/>
              <w:right w:w="0" w:type="dxa"/>
            </w:tcMar>
            <w:vAlign w:val="bottom"/>
            <w:hideMark/>
          </w:tcPr>
          <w:p w14:paraId="186B3B1E"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25,267</w:t>
            </w:r>
          </w:p>
        </w:tc>
      </w:tr>
      <w:tr w:rsidR="00BE3951" w:rsidRPr="00BE3951" w14:paraId="625B5AFF" w14:textId="77777777" w:rsidTr="006E0488">
        <w:tc>
          <w:tcPr>
            <w:tcW w:w="4395" w:type="dxa"/>
            <w:vAlign w:val="bottom"/>
            <w:hideMark/>
          </w:tcPr>
          <w:p w14:paraId="5908373C" w14:textId="77777777" w:rsidR="00BE3951" w:rsidRPr="00BE3951" w:rsidRDefault="00BE3951" w:rsidP="00BE3951">
            <w:pPr>
              <w:shd w:val="clear" w:color="auto" w:fill="FFFFFF"/>
              <w:spacing w:after="0" w:line="240" w:lineRule="auto"/>
              <w:jc w:val="both"/>
              <w:rPr>
                <w:rFonts w:ascii="Overpass" w:eastAsia="Times New Roman" w:hAnsi="Overpass" w:cs="Calibri"/>
                <w:color w:val="212121"/>
                <w:lang w:eastAsia="it-IT"/>
              </w:rPr>
            </w:pPr>
            <w:r w:rsidRPr="00BE3951">
              <w:rPr>
                <w:rFonts w:ascii="Overpass" w:eastAsia="Times New Roman" w:hAnsi="Overpass" w:cs="Calibri"/>
                <w:color w:val="212121"/>
                <w:lang w:eastAsia="it-IT"/>
              </w:rPr>
              <w:t>Accumulated deficit</w:t>
            </w:r>
          </w:p>
        </w:tc>
        <w:tc>
          <w:tcPr>
            <w:tcW w:w="1611" w:type="dxa"/>
            <w:tcBorders>
              <w:bottom w:val="single" w:sz="8" w:space="0" w:color="000000"/>
            </w:tcBorders>
            <w:tcMar>
              <w:top w:w="15" w:type="dxa"/>
              <w:left w:w="15" w:type="dxa"/>
              <w:bottom w:w="15" w:type="dxa"/>
              <w:right w:w="0" w:type="dxa"/>
            </w:tcMar>
            <w:vAlign w:val="bottom"/>
            <w:hideMark/>
          </w:tcPr>
          <w:p w14:paraId="2B3BEE10"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(1,846,642)</w:t>
            </w:r>
          </w:p>
        </w:tc>
        <w:tc>
          <w:tcPr>
            <w:tcW w:w="515" w:type="dxa"/>
            <w:vAlign w:val="bottom"/>
            <w:hideMark/>
          </w:tcPr>
          <w:p w14:paraId="3528998E" w14:textId="77777777" w:rsidR="00BE3951" w:rsidRPr="00BE3951" w:rsidRDefault="00BE3951" w:rsidP="00BE3951">
            <w:pPr>
              <w:shd w:val="clear" w:color="auto" w:fill="FFFFFF"/>
              <w:spacing w:after="0" w:line="240" w:lineRule="auto"/>
              <w:jc w:val="both"/>
              <w:rPr>
                <w:rFonts w:ascii="Overpass" w:eastAsia="Times New Roman" w:hAnsi="Overpass" w:cs="Calibri"/>
                <w:color w:val="212121"/>
                <w:lang w:eastAsia="it-IT"/>
              </w:rPr>
            </w:pPr>
            <w:r w:rsidRPr="00BE3951">
              <w:rPr>
                <w:rFonts w:ascii="Overpass" w:eastAsia="Times New Roman" w:hAnsi="Overpass" w:cs="Calibri"/>
                <w:color w:val="212121"/>
                <w:lang w:eastAsia="it-IT"/>
              </w:rPr>
              <w:t> </w:t>
            </w:r>
          </w:p>
        </w:tc>
        <w:tc>
          <w:tcPr>
            <w:tcW w:w="2551" w:type="dxa"/>
            <w:tcBorders>
              <w:bottom w:val="single" w:sz="8" w:space="0" w:color="000000"/>
            </w:tcBorders>
            <w:tcMar>
              <w:top w:w="15" w:type="dxa"/>
              <w:left w:w="15" w:type="dxa"/>
              <w:bottom w:w="15" w:type="dxa"/>
              <w:right w:w="0" w:type="dxa"/>
            </w:tcMar>
            <w:vAlign w:val="bottom"/>
            <w:hideMark/>
          </w:tcPr>
          <w:p w14:paraId="7197A9D6"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(1,588,773)</w:t>
            </w:r>
          </w:p>
        </w:tc>
      </w:tr>
      <w:tr w:rsidR="00BE3951" w:rsidRPr="00BE3951" w14:paraId="64DF4EF0" w14:textId="77777777" w:rsidTr="006E0488">
        <w:tc>
          <w:tcPr>
            <w:tcW w:w="4395" w:type="dxa"/>
            <w:vAlign w:val="bottom"/>
            <w:hideMark/>
          </w:tcPr>
          <w:p w14:paraId="65BEC3D3" w14:textId="77777777" w:rsidR="00BE3951" w:rsidRPr="00BE3951" w:rsidRDefault="00BE3951" w:rsidP="00BE3951">
            <w:pPr>
              <w:shd w:val="clear" w:color="auto" w:fill="FFFFFF"/>
              <w:spacing w:after="0" w:line="240" w:lineRule="auto"/>
              <w:jc w:val="both"/>
              <w:rPr>
                <w:rFonts w:ascii="Overpass" w:eastAsia="Times New Roman" w:hAnsi="Overpass" w:cs="Calibri"/>
                <w:color w:val="212121"/>
                <w:lang w:eastAsia="it-IT"/>
              </w:rPr>
            </w:pPr>
            <w:r w:rsidRPr="00BE3951">
              <w:rPr>
                <w:rFonts w:ascii="Overpass" w:eastAsia="Times New Roman" w:hAnsi="Overpass" w:cs="Calibri"/>
                <w:color w:val="212121"/>
                <w:lang w:eastAsia="it-IT"/>
              </w:rPr>
              <w:t> </w:t>
            </w:r>
          </w:p>
        </w:tc>
        <w:tc>
          <w:tcPr>
            <w:tcW w:w="1611" w:type="dxa"/>
            <w:vAlign w:val="bottom"/>
            <w:hideMark/>
          </w:tcPr>
          <w:p w14:paraId="626B51AA"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 </w:t>
            </w:r>
          </w:p>
        </w:tc>
        <w:tc>
          <w:tcPr>
            <w:tcW w:w="515" w:type="dxa"/>
            <w:vAlign w:val="bottom"/>
            <w:hideMark/>
          </w:tcPr>
          <w:p w14:paraId="4A28C2B2" w14:textId="77777777" w:rsidR="00BE3951" w:rsidRPr="00BE3951" w:rsidRDefault="00BE3951" w:rsidP="00BE3951">
            <w:pPr>
              <w:shd w:val="clear" w:color="auto" w:fill="FFFFFF"/>
              <w:spacing w:after="0" w:line="240" w:lineRule="auto"/>
              <w:jc w:val="both"/>
              <w:rPr>
                <w:rFonts w:ascii="Overpass" w:eastAsia="Times New Roman" w:hAnsi="Overpass" w:cs="Calibri"/>
                <w:color w:val="212121"/>
                <w:lang w:eastAsia="it-IT"/>
              </w:rPr>
            </w:pPr>
            <w:r w:rsidRPr="00BE3951">
              <w:rPr>
                <w:rFonts w:ascii="Overpass" w:eastAsia="Times New Roman" w:hAnsi="Overpass" w:cs="Calibri"/>
                <w:color w:val="212121"/>
                <w:lang w:eastAsia="it-IT"/>
              </w:rPr>
              <w:t> </w:t>
            </w:r>
          </w:p>
        </w:tc>
        <w:tc>
          <w:tcPr>
            <w:tcW w:w="2551" w:type="dxa"/>
            <w:vAlign w:val="bottom"/>
            <w:hideMark/>
          </w:tcPr>
          <w:p w14:paraId="18C1FBA3"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 </w:t>
            </w:r>
          </w:p>
        </w:tc>
      </w:tr>
      <w:tr w:rsidR="00BE3951" w:rsidRPr="00BE3951" w14:paraId="05EE31CF" w14:textId="77777777" w:rsidTr="006E0488">
        <w:tc>
          <w:tcPr>
            <w:tcW w:w="4395" w:type="dxa"/>
            <w:vAlign w:val="bottom"/>
            <w:hideMark/>
          </w:tcPr>
          <w:p w14:paraId="65E44C44" w14:textId="77777777" w:rsidR="00BE3951" w:rsidRPr="00BE3951" w:rsidRDefault="00BE3951" w:rsidP="00BE3951">
            <w:pPr>
              <w:shd w:val="clear" w:color="auto" w:fill="FFFFFF"/>
              <w:spacing w:after="0" w:line="240" w:lineRule="auto"/>
              <w:jc w:val="both"/>
              <w:rPr>
                <w:rFonts w:ascii="Overpass" w:eastAsia="Times New Roman" w:hAnsi="Overpass" w:cs="Calibri"/>
                <w:color w:val="212121"/>
                <w:lang w:eastAsia="it-IT"/>
              </w:rPr>
            </w:pPr>
            <w:r w:rsidRPr="00BE3951">
              <w:rPr>
                <w:rFonts w:ascii="Overpass" w:eastAsia="Times New Roman" w:hAnsi="Overpass" w:cs="Calibri"/>
                <w:b/>
                <w:bCs/>
                <w:color w:val="212121"/>
                <w:lang w:eastAsia="it-IT"/>
              </w:rPr>
              <w:t>Total shareholders’ equity (deficit) attributable to ordinary shareholders</w:t>
            </w:r>
          </w:p>
        </w:tc>
        <w:tc>
          <w:tcPr>
            <w:tcW w:w="1611" w:type="dxa"/>
            <w:tcBorders>
              <w:bottom w:val="single" w:sz="8" w:space="0" w:color="000000"/>
            </w:tcBorders>
            <w:tcMar>
              <w:top w:w="15" w:type="dxa"/>
              <w:left w:w="15" w:type="dxa"/>
              <w:bottom w:w="15" w:type="dxa"/>
              <w:right w:w="0" w:type="dxa"/>
            </w:tcMar>
            <w:vAlign w:val="bottom"/>
            <w:hideMark/>
          </w:tcPr>
          <w:p w14:paraId="024EA8F2"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b/>
                <w:bCs/>
                <w:color w:val="212121"/>
                <w:lang w:eastAsia="it-IT"/>
              </w:rPr>
              <w:t>25,559</w:t>
            </w:r>
          </w:p>
        </w:tc>
        <w:tc>
          <w:tcPr>
            <w:tcW w:w="515" w:type="dxa"/>
            <w:vAlign w:val="bottom"/>
            <w:hideMark/>
          </w:tcPr>
          <w:p w14:paraId="1EB3F008" w14:textId="77777777" w:rsidR="00BE3951" w:rsidRPr="00BE3951" w:rsidRDefault="00BE3951" w:rsidP="00BE3951">
            <w:pPr>
              <w:shd w:val="clear" w:color="auto" w:fill="FFFFFF"/>
              <w:spacing w:after="0" w:line="240" w:lineRule="auto"/>
              <w:jc w:val="both"/>
              <w:rPr>
                <w:rFonts w:ascii="Overpass" w:eastAsia="Times New Roman" w:hAnsi="Overpass" w:cs="Calibri"/>
                <w:color w:val="212121"/>
                <w:lang w:eastAsia="it-IT"/>
              </w:rPr>
            </w:pPr>
            <w:r w:rsidRPr="00BE3951">
              <w:rPr>
                <w:rFonts w:ascii="Overpass" w:eastAsia="Times New Roman" w:hAnsi="Overpass" w:cs="Calibri"/>
                <w:color w:val="212121"/>
                <w:lang w:eastAsia="it-IT"/>
              </w:rPr>
              <w:t> </w:t>
            </w:r>
          </w:p>
        </w:tc>
        <w:tc>
          <w:tcPr>
            <w:tcW w:w="2551" w:type="dxa"/>
            <w:tcBorders>
              <w:bottom w:val="single" w:sz="8" w:space="0" w:color="000000"/>
            </w:tcBorders>
            <w:tcMar>
              <w:top w:w="15" w:type="dxa"/>
              <w:left w:w="15" w:type="dxa"/>
              <w:bottom w:w="15" w:type="dxa"/>
              <w:right w:w="0" w:type="dxa"/>
            </w:tcMar>
            <w:vAlign w:val="bottom"/>
            <w:hideMark/>
          </w:tcPr>
          <w:p w14:paraId="780C2B83"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b/>
                <w:bCs/>
                <w:color w:val="212121"/>
                <w:lang w:eastAsia="it-IT"/>
              </w:rPr>
              <w:t>(1,205,298)</w:t>
            </w:r>
          </w:p>
        </w:tc>
      </w:tr>
      <w:tr w:rsidR="00BE3951" w:rsidRPr="00BE3951" w14:paraId="5E399704" w14:textId="77777777" w:rsidTr="006E0488">
        <w:tc>
          <w:tcPr>
            <w:tcW w:w="4395" w:type="dxa"/>
            <w:vAlign w:val="bottom"/>
            <w:hideMark/>
          </w:tcPr>
          <w:p w14:paraId="1DF9975C" w14:textId="77777777" w:rsidR="00BE3951" w:rsidRPr="00BE3951" w:rsidRDefault="00BE3951" w:rsidP="00BE3951">
            <w:pPr>
              <w:shd w:val="clear" w:color="auto" w:fill="FFFFFF"/>
              <w:spacing w:after="0" w:line="240" w:lineRule="auto"/>
              <w:jc w:val="both"/>
              <w:rPr>
                <w:rFonts w:ascii="Overpass" w:eastAsia="Times New Roman" w:hAnsi="Overpass" w:cs="Calibri"/>
                <w:color w:val="212121"/>
                <w:lang w:eastAsia="it-IT"/>
              </w:rPr>
            </w:pPr>
            <w:r w:rsidRPr="00BE3951">
              <w:rPr>
                <w:rFonts w:ascii="Overpass" w:eastAsia="Times New Roman" w:hAnsi="Overpass" w:cs="Calibri"/>
                <w:color w:val="212121"/>
                <w:lang w:eastAsia="it-IT"/>
              </w:rPr>
              <w:t>Noncontrolling interests</w:t>
            </w:r>
          </w:p>
        </w:tc>
        <w:tc>
          <w:tcPr>
            <w:tcW w:w="1611" w:type="dxa"/>
            <w:tcBorders>
              <w:top w:val="single" w:sz="8" w:space="0" w:color="000000"/>
              <w:bottom w:val="single" w:sz="8" w:space="0" w:color="000000"/>
            </w:tcBorders>
            <w:tcMar>
              <w:top w:w="15" w:type="dxa"/>
              <w:left w:w="15" w:type="dxa"/>
              <w:bottom w:w="15" w:type="dxa"/>
              <w:right w:w="0" w:type="dxa"/>
            </w:tcMar>
            <w:vAlign w:val="bottom"/>
            <w:hideMark/>
          </w:tcPr>
          <w:p w14:paraId="0B307101"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(5,760)</w:t>
            </w:r>
          </w:p>
        </w:tc>
        <w:tc>
          <w:tcPr>
            <w:tcW w:w="515" w:type="dxa"/>
            <w:vAlign w:val="bottom"/>
            <w:hideMark/>
          </w:tcPr>
          <w:p w14:paraId="5C6BD8E7" w14:textId="77777777" w:rsidR="00BE3951" w:rsidRPr="00BE3951" w:rsidRDefault="00BE3951" w:rsidP="00BE3951">
            <w:pPr>
              <w:shd w:val="clear" w:color="auto" w:fill="FFFFFF"/>
              <w:spacing w:after="0" w:line="240" w:lineRule="auto"/>
              <w:jc w:val="both"/>
              <w:rPr>
                <w:rFonts w:ascii="Overpass" w:eastAsia="Times New Roman" w:hAnsi="Overpass" w:cs="Calibri"/>
                <w:color w:val="212121"/>
                <w:lang w:eastAsia="it-IT"/>
              </w:rPr>
            </w:pPr>
            <w:r w:rsidRPr="00BE3951">
              <w:rPr>
                <w:rFonts w:ascii="Overpass" w:eastAsia="Times New Roman" w:hAnsi="Overpass" w:cs="Calibri"/>
                <w:color w:val="212121"/>
                <w:lang w:eastAsia="it-IT"/>
              </w:rPr>
              <w:t> </w:t>
            </w:r>
          </w:p>
        </w:tc>
        <w:tc>
          <w:tcPr>
            <w:tcW w:w="2551" w:type="dxa"/>
            <w:tcBorders>
              <w:bottom w:val="single" w:sz="8" w:space="0" w:color="000000"/>
            </w:tcBorders>
            <w:tcMar>
              <w:top w:w="15" w:type="dxa"/>
              <w:left w:w="15" w:type="dxa"/>
              <w:bottom w:w="15" w:type="dxa"/>
              <w:right w:w="0" w:type="dxa"/>
            </w:tcMar>
            <w:vAlign w:val="bottom"/>
            <w:hideMark/>
          </w:tcPr>
          <w:p w14:paraId="306CEFD5"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(5,404)</w:t>
            </w:r>
          </w:p>
        </w:tc>
      </w:tr>
      <w:tr w:rsidR="00BE3951" w:rsidRPr="00BE3951" w14:paraId="0C22D259" w14:textId="77777777" w:rsidTr="006E0488">
        <w:tc>
          <w:tcPr>
            <w:tcW w:w="4395" w:type="dxa"/>
            <w:vAlign w:val="bottom"/>
            <w:hideMark/>
          </w:tcPr>
          <w:p w14:paraId="62637015" w14:textId="77777777" w:rsidR="00BE3951" w:rsidRPr="00BE3951" w:rsidRDefault="00BE3951" w:rsidP="00BE3951">
            <w:pPr>
              <w:shd w:val="clear" w:color="auto" w:fill="FFFFFF"/>
              <w:spacing w:after="0" w:line="240" w:lineRule="auto"/>
              <w:jc w:val="both"/>
              <w:rPr>
                <w:rFonts w:ascii="Overpass" w:eastAsia="Times New Roman" w:hAnsi="Overpass" w:cs="Calibri"/>
                <w:color w:val="212121"/>
                <w:lang w:eastAsia="it-IT"/>
              </w:rPr>
            </w:pPr>
            <w:r w:rsidRPr="00BE3951">
              <w:rPr>
                <w:rFonts w:ascii="Overpass" w:eastAsia="Times New Roman" w:hAnsi="Overpass" w:cs="Calibri"/>
                <w:b/>
                <w:bCs/>
                <w:color w:val="212121"/>
                <w:lang w:eastAsia="it-IT"/>
              </w:rPr>
              <w:t>Total shareholders’ equity (deficit)</w:t>
            </w:r>
          </w:p>
        </w:tc>
        <w:tc>
          <w:tcPr>
            <w:tcW w:w="1611" w:type="dxa"/>
            <w:tcBorders>
              <w:bottom w:val="single" w:sz="8" w:space="0" w:color="000000"/>
            </w:tcBorders>
            <w:tcMar>
              <w:top w:w="15" w:type="dxa"/>
              <w:left w:w="15" w:type="dxa"/>
              <w:bottom w:w="15" w:type="dxa"/>
              <w:right w:w="0" w:type="dxa"/>
            </w:tcMar>
            <w:vAlign w:val="bottom"/>
            <w:hideMark/>
          </w:tcPr>
          <w:p w14:paraId="1BCFCA98"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b/>
                <w:bCs/>
                <w:color w:val="212121"/>
                <w:lang w:eastAsia="it-IT"/>
              </w:rPr>
              <w:t>19,799</w:t>
            </w:r>
          </w:p>
        </w:tc>
        <w:tc>
          <w:tcPr>
            <w:tcW w:w="515" w:type="dxa"/>
            <w:vAlign w:val="bottom"/>
            <w:hideMark/>
          </w:tcPr>
          <w:p w14:paraId="0D9BF174" w14:textId="77777777" w:rsidR="00BE3951" w:rsidRPr="00BE3951" w:rsidRDefault="00BE3951" w:rsidP="00BE3951">
            <w:pPr>
              <w:shd w:val="clear" w:color="auto" w:fill="FFFFFF"/>
              <w:spacing w:after="0" w:line="240" w:lineRule="auto"/>
              <w:jc w:val="both"/>
              <w:rPr>
                <w:rFonts w:ascii="Overpass" w:eastAsia="Times New Roman" w:hAnsi="Overpass" w:cs="Calibri"/>
                <w:color w:val="212121"/>
                <w:lang w:eastAsia="it-IT"/>
              </w:rPr>
            </w:pPr>
            <w:r w:rsidRPr="00BE3951">
              <w:rPr>
                <w:rFonts w:ascii="Overpass" w:eastAsia="Times New Roman" w:hAnsi="Overpass" w:cs="Calibri"/>
                <w:color w:val="212121"/>
                <w:lang w:eastAsia="it-IT"/>
              </w:rPr>
              <w:t> </w:t>
            </w:r>
          </w:p>
        </w:tc>
        <w:tc>
          <w:tcPr>
            <w:tcW w:w="2551" w:type="dxa"/>
            <w:tcBorders>
              <w:bottom w:val="single" w:sz="8" w:space="0" w:color="000000"/>
            </w:tcBorders>
            <w:tcMar>
              <w:top w:w="15" w:type="dxa"/>
              <w:left w:w="15" w:type="dxa"/>
              <w:bottom w:w="15" w:type="dxa"/>
              <w:right w:w="0" w:type="dxa"/>
            </w:tcMar>
            <w:vAlign w:val="bottom"/>
            <w:hideMark/>
          </w:tcPr>
          <w:p w14:paraId="328AA684"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b/>
                <w:bCs/>
                <w:color w:val="212121"/>
                <w:lang w:eastAsia="it-IT"/>
              </w:rPr>
              <w:t>(1,210,702)</w:t>
            </w:r>
          </w:p>
        </w:tc>
      </w:tr>
      <w:tr w:rsidR="00BE3951" w:rsidRPr="00BE3951" w14:paraId="23CA51B6" w14:textId="77777777" w:rsidTr="006E0488">
        <w:tc>
          <w:tcPr>
            <w:tcW w:w="4395" w:type="dxa"/>
            <w:vAlign w:val="bottom"/>
            <w:hideMark/>
          </w:tcPr>
          <w:p w14:paraId="2EEC633F" w14:textId="77777777" w:rsidR="00BE3951" w:rsidRPr="00BE3951" w:rsidRDefault="00BE3951" w:rsidP="00BE3951">
            <w:pPr>
              <w:shd w:val="clear" w:color="auto" w:fill="FFFFFF"/>
              <w:spacing w:after="0" w:line="240" w:lineRule="auto"/>
              <w:jc w:val="both"/>
              <w:rPr>
                <w:rFonts w:ascii="Overpass" w:eastAsia="Times New Roman" w:hAnsi="Overpass" w:cs="Calibri"/>
                <w:color w:val="212121"/>
                <w:lang w:eastAsia="it-IT"/>
              </w:rPr>
            </w:pPr>
            <w:r w:rsidRPr="00BE3951">
              <w:rPr>
                <w:rFonts w:ascii="Overpass" w:eastAsia="Times New Roman" w:hAnsi="Overpass" w:cs="Calibri"/>
                <w:b/>
                <w:bCs/>
                <w:color w:val="212121"/>
                <w:lang w:eastAsia="it-IT"/>
              </w:rPr>
              <w:t> </w:t>
            </w:r>
          </w:p>
        </w:tc>
        <w:tc>
          <w:tcPr>
            <w:tcW w:w="1611" w:type="dxa"/>
            <w:vAlign w:val="bottom"/>
            <w:hideMark/>
          </w:tcPr>
          <w:p w14:paraId="3DA8233B"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 </w:t>
            </w:r>
          </w:p>
        </w:tc>
        <w:tc>
          <w:tcPr>
            <w:tcW w:w="515" w:type="dxa"/>
            <w:vAlign w:val="bottom"/>
            <w:hideMark/>
          </w:tcPr>
          <w:p w14:paraId="765C62E0" w14:textId="77777777" w:rsidR="00BE3951" w:rsidRPr="00BE3951" w:rsidRDefault="00BE3951" w:rsidP="00BE3951">
            <w:pPr>
              <w:shd w:val="clear" w:color="auto" w:fill="FFFFFF"/>
              <w:spacing w:after="0" w:line="240" w:lineRule="auto"/>
              <w:jc w:val="both"/>
              <w:rPr>
                <w:rFonts w:ascii="Overpass" w:eastAsia="Times New Roman" w:hAnsi="Overpass" w:cs="Calibri"/>
                <w:color w:val="212121"/>
                <w:lang w:eastAsia="it-IT"/>
              </w:rPr>
            </w:pPr>
            <w:r w:rsidRPr="00BE3951">
              <w:rPr>
                <w:rFonts w:ascii="Overpass" w:eastAsia="Times New Roman" w:hAnsi="Overpass" w:cs="Calibri"/>
                <w:color w:val="212121"/>
                <w:lang w:eastAsia="it-IT"/>
              </w:rPr>
              <w:t> </w:t>
            </w:r>
          </w:p>
        </w:tc>
        <w:tc>
          <w:tcPr>
            <w:tcW w:w="2551" w:type="dxa"/>
            <w:vAlign w:val="bottom"/>
            <w:hideMark/>
          </w:tcPr>
          <w:p w14:paraId="514A206A"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color w:val="212121"/>
                <w:lang w:eastAsia="it-IT"/>
              </w:rPr>
              <w:t> </w:t>
            </w:r>
          </w:p>
        </w:tc>
      </w:tr>
      <w:tr w:rsidR="00BE3951" w:rsidRPr="00BE3951" w14:paraId="5049B2AF" w14:textId="77777777" w:rsidTr="006E0488">
        <w:tc>
          <w:tcPr>
            <w:tcW w:w="4395" w:type="dxa"/>
            <w:vAlign w:val="bottom"/>
            <w:hideMark/>
          </w:tcPr>
          <w:p w14:paraId="23AD665F" w14:textId="77777777" w:rsidR="00BE3951" w:rsidRPr="00BE3951" w:rsidRDefault="00BE3951" w:rsidP="00BE3951">
            <w:pPr>
              <w:shd w:val="clear" w:color="auto" w:fill="FFFFFF"/>
              <w:spacing w:after="0" w:line="240" w:lineRule="auto"/>
              <w:jc w:val="both"/>
              <w:rPr>
                <w:rFonts w:ascii="Overpass" w:eastAsia="Times New Roman" w:hAnsi="Overpass" w:cs="Calibri"/>
                <w:color w:val="212121"/>
                <w:lang w:eastAsia="it-IT"/>
              </w:rPr>
            </w:pPr>
            <w:r w:rsidRPr="00BE3951">
              <w:rPr>
                <w:rFonts w:ascii="Overpass" w:eastAsia="Times New Roman" w:hAnsi="Overpass" w:cs="Calibri"/>
                <w:b/>
                <w:bCs/>
                <w:color w:val="212121"/>
                <w:lang w:eastAsia="it-IT"/>
              </w:rPr>
              <w:t>Total liabilities, mezzanine equity and shareholders’ equity (deficit)</w:t>
            </w:r>
          </w:p>
        </w:tc>
        <w:tc>
          <w:tcPr>
            <w:tcW w:w="1611" w:type="dxa"/>
            <w:tcBorders>
              <w:bottom w:val="double" w:sz="6" w:space="0" w:color="000000"/>
            </w:tcBorders>
            <w:tcMar>
              <w:top w:w="15" w:type="dxa"/>
              <w:left w:w="15" w:type="dxa"/>
              <w:bottom w:w="15" w:type="dxa"/>
              <w:right w:w="0" w:type="dxa"/>
            </w:tcMar>
            <w:vAlign w:val="bottom"/>
            <w:hideMark/>
          </w:tcPr>
          <w:p w14:paraId="4E3D0747"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b/>
                <w:bCs/>
                <w:color w:val="212121"/>
                <w:lang w:eastAsia="it-IT"/>
              </w:rPr>
              <w:t>2,543,497</w:t>
            </w:r>
          </w:p>
        </w:tc>
        <w:tc>
          <w:tcPr>
            <w:tcW w:w="515" w:type="dxa"/>
            <w:vAlign w:val="bottom"/>
            <w:hideMark/>
          </w:tcPr>
          <w:p w14:paraId="164D148C" w14:textId="77777777" w:rsidR="00BE3951" w:rsidRPr="00BE3951" w:rsidRDefault="00BE3951" w:rsidP="00BE3951">
            <w:pPr>
              <w:shd w:val="clear" w:color="auto" w:fill="FFFFFF"/>
              <w:spacing w:after="0" w:line="240" w:lineRule="auto"/>
              <w:jc w:val="both"/>
              <w:rPr>
                <w:rFonts w:ascii="Overpass" w:eastAsia="Times New Roman" w:hAnsi="Overpass" w:cs="Calibri"/>
                <w:color w:val="212121"/>
                <w:lang w:eastAsia="it-IT"/>
              </w:rPr>
            </w:pPr>
            <w:r w:rsidRPr="00BE3951">
              <w:rPr>
                <w:rFonts w:ascii="Overpass" w:eastAsia="Times New Roman" w:hAnsi="Overpass" w:cs="Calibri"/>
                <w:color w:val="212121"/>
                <w:lang w:eastAsia="it-IT"/>
              </w:rPr>
              <w:t> </w:t>
            </w:r>
          </w:p>
        </w:tc>
        <w:tc>
          <w:tcPr>
            <w:tcW w:w="2551" w:type="dxa"/>
            <w:tcBorders>
              <w:bottom w:val="double" w:sz="6" w:space="0" w:color="000000"/>
            </w:tcBorders>
            <w:tcMar>
              <w:top w:w="15" w:type="dxa"/>
              <w:left w:w="15" w:type="dxa"/>
              <w:bottom w:w="15" w:type="dxa"/>
              <w:right w:w="0" w:type="dxa"/>
            </w:tcMar>
            <w:vAlign w:val="bottom"/>
            <w:hideMark/>
          </w:tcPr>
          <w:p w14:paraId="261A0BF6" w14:textId="77777777" w:rsidR="00BE3951" w:rsidRPr="00BE3951" w:rsidRDefault="00BE3951" w:rsidP="006E0488">
            <w:pPr>
              <w:shd w:val="clear" w:color="auto" w:fill="FFFFFF"/>
              <w:spacing w:after="0" w:line="240" w:lineRule="auto"/>
              <w:jc w:val="right"/>
              <w:rPr>
                <w:rFonts w:ascii="Overpass" w:eastAsia="Times New Roman" w:hAnsi="Overpass" w:cs="Calibri"/>
                <w:color w:val="212121"/>
                <w:lang w:eastAsia="it-IT"/>
              </w:rPr>
            </w:pPr>
            <w:r w:rsidRPr="00BE3951">
              <w:rPr>
                <w:rFonts w:ascii="Overpass" w:eastAsia="Times New Roman" w:hAnsi="Overpass" w:cs="Calibri"/>
                <w:b/>
                <w:bCs/>
                <w:color w:val="212121"/>
                <w:lang w:eastAsia="it-IT"/>
              </w:rPr>
              <w:t>1,584,678</w:t>
            </w:r>
          </w:p>
        </w:tc>
      </w:tr>
      <w:tr w:rsidR="00BE3951" w:rsidRPr="00BE3951" w14:paraId="06D74CA1" w14:textId="77777777" w:rsidTr="006E0488">
        <w:tc>
          <w:tcPr>
            <w:tcW w:w="9072" w:type="dxa"/>
            <w:gridSpan w:val="4"/>
            <w:vAlign w:val="bottom"/>
            <w:hideMark/>
          </w:tcPr>
          <w:p w14:paraId="3658C701" w14:textId="77777777" w:rsidR="00BE3951" w:rsidRPr="00BE3951" w:rsidRDefault="00BE3951" w:rsidP="00BE3951">
            <w:pPr>
              <w:shd w:val="clear" w:color="auto" w:fill="FFFFFF"/>
              <w:spacing w:after="0" w:line="240" w:lineRule="auto"/>
              <w:jc w:val="both"/>
              <w:rPr>
                <w:rFonts w:ascii="Overpass" w:eastAsia="Times New Roman" w:hAnsi="Overpass" w:cs="Calibri"/>
                <w:color w:val="212121"/>
                <w:lang w:eastAsia="it-IT"/>
              </w:rPr>
            </w:pPr>
            <w:r w:rsidRPr="00BE3951">
              <w:rPr>
                <w:rFonts w:ascii="Overpass" w:eastAsia="Times New Roman" w:hAnsi="Overpass" w:cs="Calibri"/>
                <w:color w:val="212121"/>
                <w:lang w:eastAsia="it-IT"/>
              </w:rPr>
              <w:t> </w:t>
            </w:r>
          </w:p>
        </w:tc>
      </w:tr>
    </w:tbl>
    <w:p w14:paraId="0CA3791C" w14:textId="77777777" w:rsidR="00BE3951" w:rsidRPr="00BE3951" w:rsidRDefault="00BE3951" w:rsidP="00BE3951">
      <w:pPr>
        <w:shd w:val="clear" w:color="auto" w:fill="FFFFFF"/>
        <w:spacing w:after="0" w:line="240" w:lineRule="auto"/>
        <w:jc w:val="both"/>
        <w:rPr>
          <w:rFonts w:ascii="Overpass" w:eastAsia="Times New Roman" w:hAnsi="Overpass" w:cs="Calibri"/>
          <w:color w:val="212121"/>
          <w:lang w:eastAsia="it-IT"/>
        </w:rPr>
      </w:pPr>
    </w:p>
    <w:p w14:paraId="654695F3" w14:textId="77777777" w:rsidR="00BE3951" w:rsidRDefault="00BE3951" w:rsidP="00BE3951">
      <w:pPr>
        <w:shd w:val="clear" w:color="auto" w:fill="FFFFFF"/>
        <w:spacing w:after="0" w:line="240" w:lineRule="auto"/>
        <w:jc w:val="both"/>
        <w:rPr>
          <w:rFonts w:ascii="Overpass" w:eastAsia="Times New Roman" w:hAnsi="Overpass" w:cs="Calibri"/>
          <w:color w:val="212121"/>
          <w:lang w:eastAsia="it-IT"/>
        </w:rPr>
      </w:pPr>
    </w:p>
    <w:p w14:paraId="3F02DA7F" w14:textId="77777777" w:rsidR="006E0488" w:rsidRPr="006E0488" w:rsidRDefault="006E0488" w:rsidP="006E0488">
      <w:pPr>
        <w:shd w:val="clear" w:color="auto" w:fill="FFFFFF"/>
        <w:spacing w:after="0" w:line="240" w:lineRule="auto"/>
        <w:rPr>
          <w:rFonts w:ascii="Overpass" w:eastAsia="Times New Roman" w:hAnsi="Overpass" w:cs="Calibri"/>
          <w:color w:val="212121"/>
          <w:lang w:eastAsia="it-IT"/>
        </w:rPr>
      </w:pPr>
      <w:r w:rsidRPr="006E0488">
        <w:rPr>
          <w:rFonts w:ascii="Overpass" w:eastAsia="Times New Roman" w:hAnsi="Overpass" w:cs="Calibri"/>
          <w:b/>
          <w:bCs/>
          <w:color w:val="212121"/>
          <w:lang w:eastAsia="it-IT"/>
        </w:rPr>
        <w:t>Appendix B</w:t>
      </w:r>
    </w:p>
    <w:p w14:paraId="6B85226F" w14:textId="77777777" w:rsidR="006E0488" w:rsidRPr="006E0488" w:rsidRDefault="006E0488" w:rsidP="006E0488">
      <w:pPr>
        <w:shd w:val="clear" w:color="auto" w:fill="FFFFFF"/>
        <w:spacing w:after="0" w:line="240" w:lineRule="auto"/>
        <w:rPr>
          <w:rFonts w:ascii="Overpass" w:eastAsia="Times New Roman" w:hAnsi="Overpass" w:cs="Calibri"/>
          <w:color w:val="212121"/>
          <w:lang w:eastAsia="it-IT"/>
        </w:rPr>
      </w:pPr>
      <w:r w:rsidRPr="006E0488">
        <w:rPr>
          <w:rFonts w:ascii="Overpass" w:eastAsia="Times New Roman" w:hAnsi="Overpass" w:cs="Calibri"/>
          <w:b/>
          <w:bCs/>
          <w:color w:val="212121"/>
          <w:lang w:eastAsia="it-IT"/>
        </w:rPr>
        <w:t>Lotus Technology Inc.</w:t>
      </w:r>
      <w:r w:rsidRPr="006E0488">
        <w:rPr>
          <w:rFonts w:ascii="Overpass" w:eastAsia="Times New Roman" w:hAnsi="Overpass" w:cs="Calibri"/>
          <w:color w:val="212121"/>
          <w:lang w:eastAsia="it-IT"/>
        </w:rPr>
        <w:br/>
      </w:r>
      <w:r w:rsidRPr="006E0488">
        <w:rPr>
          <w:rFonts w:ascii="Overpass" w:eastAsia="Times New Roman" w:hAnsi="Overpass" w:cs="Calibri"/>
          <w:b/>
          <w:bCs/>
          <w:color w:val="212121"/>
          <w:lang w:eastAsia="it-IT"/>
        </w:rPr>
        <w:t>Unaudited Consolidated Statements of Comprehensive Loss</w:t>
      </w:r>
    </w:p>
    <w:p w14:paraId="6D86F688" w14:textId="77777777" w:rsidR="006E0488" w:rsidRDefault="006E0488" w:rsidP="006E0488">
      <w:pPr>
        <w:shd w:val="clear" w:color="auto" w:fill="FFFFFF"/>
        <w:spacing w:after="0" w:line="240" w:lineRule="auto"/>
        <w:rPr>
          <w:rFonts w:ascii="Overpass" w:eastAsia="Times New Roman" w:hAnsi="Overpass" w:cs="Calibri"/>
          <w:color w:val="212121"/>
          <w:lang w:eastAsia="it-IT"/>
        </w:rPr>
      </w:pPr>
      <w:r w:rsidRPr="006E0488">
        <w:rPr>
          <w:rFonts w:ascii="Overpass" w:eastAsia="Times New Roman" w:hAnsi="Overpass" w:cs="Calibri"/>
          <w:color w:val="212121"/>
          <w:lang w:eastAsia="it-IT"/>
        </w:rPr>
        <w:t>(All amounts in thousands, except for share and per share data)</w:t>
      </w:r>
    </w:p>
    <w:p w14:paraId="76E2AF60" w14:textId="77777777" w:rsidR="00014AEC" w:rsidRDefault="00014AEC" w:rsidP="006E0488">
      <w:pPr>
        <w:shd w:val="clear" w:color="auto" w:fill="FFFFFF"/>
        <w:spacing w:after="0" w:line="240" w:lineRule="auto"/>
        <w:rPr>
          <w:rFonts w:ascii="Overpass" w:eastAsia="Times New Roman" w:hAnsi="Overpass" w:cs="Calibri"/>
          <w:color w:val="212121"/>
          <w:lang w:eastAsia="it-IT"/>
        </w:rPr>
      </w:pPr>
    </w:p>
    <w:p w14:paraId="0D0041DD" w14:textId="77777777" w:rsidR="006E0488" w:rsidRPr="006E0488" w:rsidRDefault="006E0488" w:rsidP="006E0488">
      <w:pPr>
        <w:shd w:val="clear" w:color="auto" w:fill="FFFFFF"/>
        <w:spacing w:after="0" w:line="240" w:lineRule="auto"/>
        <w:rPr>
          <w:rFonts w:ascii="Overpass" w:eastAsia="Times New Roman" w:hAnsi="Overpass" w:cs="Calibri"/>
          <w:color w:val="212121"/>
          <w:lang w:eastAsia="it-IT"/>
        </w:rPr>
      </w:pPr>
    </w:p>
    <w:tbl>
      <w:tblPr>
        <w:tblW w:w="9214" w:type="dxa"/>
        <w:tblCellMar>
          <w:top w:w="15" w:type="dxa"/>
          <w:left w:w="15" w:type="dxa"/>
          <w:bottom w:w="15" w:type="dxa"/>
          <w:right w:w="15" w:type="dxa"/>
        </w:tblCellMar>
        <w:tblLook w:val="04A0" w:firstRow="1" w:lastRow="0" w:firstColumn="1" w:lastColumn="0" w:noHBand="0" w:noVBand="1"/>
      </w:tblPr>
      <w:tblGrid>
        <w:gridCol w:w="4253"/>
        <w:gridCol w:w="2665"/>
        <w:gridCol w:w="83"/>
        <w:gridCol w:w="2213"/>
      </w:tblGrid>
      <w:tr w:rsidR="006E0488" w:rsidRPr="006E0488" w14:paraId="4CCEDBDA" w14:textId="77777777" w:rsidTr="006E0488">
        <w:tc>
          <w:tcPr>
            <w:tcW w:w="4253" w:type="dxa"/>
            <w:vAlign w:val="bottom"/>
            <w:hideMark/>
          </w:tcPr>
          <w:p w14:paraId="6DACA322" w14:textId="77777777" w:rsidR="006E0488" w:rsidRPr="006E0488" w:rsidRDefault="006E0488" w:rsidP="006E0488">
            <w:pPr>
              <w:shd w:val="clear" w:color="auto" w:fill="FFFFFF"/>
              <w:spacing w:after="0" w:line="240" w:lineRule="auto"/>
              <w:jc w:val="both"/>
              <w:rPr>
                <w:rFonts w:ascii="Overpass" w:eastAsia="Times New Roman" w:hAnsi="Overpass" w:cs="Calibri"/>
                <w:color w:val="212121"/>
                <w:lang w:eastAsia="it-IT"/>
              </w:rPr>
            </w:pPr>
            <w:r w:rsidRPr="006E0488">
              <w:rPr>
                <w:rFonts w:ascii="Overpass" w:eastAsia="Times New Roman" w:hAnsi="Overpass" w:cs="Calibri"/>
                <w:color w:val="212121"/>
                <w:lang w:eastAsia="it-IT"/>
              </w:rPr>
              <w:t> </w:t>
            </w:r>
          </w:p>
        </w:tc>
        <w:tc>
          <w:tcPr>
            <w:tcW w:w="4961" w:type="dxa"/>
            <w:gridSpan w:val="3"/>
            <w:tcBorders>
              <w:bottom w:val="single" w:sz="8" w:space="0" w:color="000000"/>
            </w:tcBorders>
            <w:vAlign w:val="bottom"/>
            <w:hideMark/>
          </w:tcPr>
          <w:p w14:paraId="12FB4691" w14:textId="77777777" w:rsidR="006E0488" w:rsidRPr="006E0488" w:rsidRDefault="006E0488" w:rsidP="006E0488">
            <w:pPr>
              <w:shd w:val="clear" w:color="auto" w:fill="FFFFFF"/>
              <w:spacing w:after="0" w:line="240" w:lineRule="auto"/>
              <w:jc w:val="both"/>
              <w:rPr>
                <w:rFonts w:ascii="Overpass" w:eastAsia="Times New Roman" w:hAnsi="Overpass" w:cs="Calibri"/>
                <w:color w:val="212121"/>
                <w:lang w:eastAsia="it-IT"/>
              </w:rPr>
            </w:pPr>
            <w:r w:rsidRPr="006E0488">
              <w:rPr>
                <w:rFonts w:ascii="Overpass" w:eastAsia="Times New Roman" w:hAnsi="Overpass" w:cs="Calibri"/>
                <w:b/>
                <w:bCs/>
                <w:color w:val="212121"/>
                <w:lang w:eastAsia="it-IT"/>
              </w:rPr>
              <w:t>For the Three Months Ended</w:t>
            </w:r>
          </w:p>
        </w:tc>
      </w:tr>
      <w:tr w:rsidR="006E0488" w:rsidRPr="006E0488" w14:paraId="4A735D7C" w14:textId="77777777" w:rsidTr="006E0488">
        <w:tc>
          <w:tcPr>
            <w:tcW w:w="4253" w:type="dxa"/>
            <w:vAlign w:val="bottom"/>
            <w:hideMark/>
          </w:tcPr>
          <w:p w14:paraId="36D5165C" w14:textId="77777777" w:rsidR="006E0488" w:rsidRPr="006E0488" w:rsidRDefault="006E0488" w:rsidP="006E0488">
            <w:pPr>
              <w:shd w:val="clear" w:color="auto" w:fill="FFFFFF"/>
              <w:spacing w:after="0" w:line="240" w:lineRule="auto"/>
              <w:jc w:val="both"/>
              <w:rPr>
                <w:rFonts w:ascii="Overpass" w:eastAsia="Times New Roman" w:hAnsi="Overpass" w:cs="Calibri"/>
                <w:color w:val="212121"/>
                <w:lang w:eastAsia="it-IT"/>
              </w:rPr>
            </w:pPr>
            <w:r w:rsidRPr="006E0488">
              <w:rPr>
                <w:rFonts w:ascii="Overpass" w:eastAsia="Times New Roman" w:hAnsi="Overpass" w:cs="Calibri"/>
                <w:color w:val="212121"/>
                <w:lang w:eastAsia="it-IT"/>
              </w:rPr>
              <w:t> </w:t>
            </w:r>
          </w:p>
        </w:tc>
        <w:tc>
          <w:tcPr>
            <w:tcW w:w="2665" w:type="dxa"/>
            <w:tcBorders>
              <w:bottom w:val="single" w:sz="8" w:space="0" w:color="000000"/>
            </w:tcBorders>
            <w:vAlign w:val="bottom"/>
            <w:hideMark/>
          </w:tcPr>
          <w:p w14:paraId="27C78AEF" w14:textId="77777777" w:rsidR="006E0488" w:rsidRPr="006E0488" w:rsidRDefault="006E0488" w:rsidP="006E0488">
            <w:pPr>
              <w:shd w:val="clear" w:color="auto" w:fill="FFFFFF"/>
              <w:spacing w:after="0" w:line="240" w:lineRule="auto"/>
              <w:jc w:val="right"/>
              <w:rPr>
                <w:rFonts w:ascii="Overpass" w:eastAsia="Times New Roman" w:hAnsi="Overpass" w:cs="Calibri"/>
                <w:color w:val="212121"/>
                <w:lang w:eastAsia="it-IT"/>
              </w:rPr>
            </w:pPr>
            <w:r w:rsidRPr="006E0488">
              <w:rPr>
                <w:rFonts w:ascii="Overpass" w:eastAsia="Times New Roman" w:hAnsi="Overpass" w:cs="Calibri"/>
                <w:b/>
                <w:bCs/>
                <w:color w:val="212121"/>
                <w:lang w:eastAsia="it-IT"/>
              </w:rPr>
              <w:t>Mar 31, 2024</w:t>
            </w:r>
          </w:p>
        </w:tc>
        <w:tc>
          <w:tcPr>
            <w:tcW w:w="83" w:type="dxa"/>
            <w:vAlign w:val="bottom"/>
            <w:hideMark/>
          </w:tcPr>
          <w:p w14:paraId="2D29BF8D" w14:textId="77777777" w:rsidR="006E0488" w:rsidRPr="006E0488" w:rsidRDefault="006E0488" w:rsidP="006E0488">
            <w:pPr>
              <w:shd w:val="clear" w:color="auto" w:fill="FFFFFF"/>
              <w:spacing w:after="0" w:line="240" w:lineRule="auto"/>
              <w:jc w:val="right"/>
              <w:rPr>
                <w:rFonts w:ascii="Overpass" w:eastAsia="Times New Roman" w:hAnsi="Overpass" w:cs="Calibri"/>
                <w:color w:val="212121"/>
                <w:lang w:eastAsia="it-IT"/>
              </w:rPr>
            </w:pPr>
            <w:r w:rsidRPr="006E0488">
              <w:rPr>
                <w:rFonts w:ascii="Overpass" w:eastAsia="Times New Roman" w:hAnsi="Overpass" w:cs="Calibri"/>
                <w:color w:val="212121"/>
                <w:lang w:eastAsia="it-IT"/>
              </w:rPr>
              <w:t> </w:t>
            </w:r>
          </w:p>
        </w:tc>
        <w:tc>
          <w:tcPr>
            <w:tcW w:w="2213" w:type="dxa"/>
            <w:tcBorders>
              <w:bottom w:val="single" w:sz="8" w:space="0" w:color="000000"/>
            </w:tcBorders>
            <w:vAlign w:val="bottom"/>
            <w:hideMark/>
          </w:tcPr>
          <w:p w14:paraId="35A65E10" w14:textId="77777777" w:rsidR="006E0488" w:rsidRPr="006E0488" w:rsidRDefault="006E0488" w:rsidP="006E0488">
            <w:pPr>
              <w:shd w:val="clear" w:color="auto" w:fill="FFFFFF"/>
              <w:spacing w:after="0" w:line="240" w:lineRule="auto"/>
              <w:jc w:val="right"/>
              <w:rPr>
                <w:rFonts w:ascii="Overpass" w:eastAsia="Times New Roman" w:hAnsi="Overpass" w:cs="Calibri"/>
                <w:color w:val="212121"/>
                <w:lang w:eastAsia="it-IT"/>
              </w:rPr>
            </w:pPr>
            <w:r w:rsidRPr="006E0488">
              <w:rPr>
                <w:rFonts w:ascii="Overpass" w:eastAsia="Times New Roman" w:hAnsi="Overpass" w:cs="Calibri"/>
                <w:b/>
                <w:bCs/>
                <w:color w:val="212121"/>
                <w:lang w:eastAsia="it-IT"/>
              </w:rPr>
              <w:t>Mar 31, 2023</w:t>
            </w:r>
          </w:p>
        </w:tc>
      </w:tr>
      <w:tr w:rsidR="006E0488" w:rsidRPr="006E0488" w14:paraId="33CF37CF" w14:textId="77777777" w:rsidTr="006E0488">
        <w:tc>
          <w:tcPr>
            <w:tcW w:w="4253" w:type="dxa"/>
            <w:vAlign w:val="bottom"/>
            <w:hideMark/>
          </w:tcPr>
          <w:p w14:paraId="46D63770" w14:textId="77777777" w:rsidR="006E0488" w:rsidRPr="006E0488" w:rsidRDefault="006E0488" w:rsidP="006E0488">
            <w:pPr>
              <w:shd w:val="clear" w:color="auto" w:fill="FFFFFF"/>
              <w:spacing w:after="0" w:line="240" w:lineRule="auto"/>
              <w:jc w:val="both"/>
              <w:rPr>
                <w:rFonts w:ascii="Overpass" w:eastAsia="Times New Roman" w:hAnsi="Overpass" w:cs="Calibri"/>
                <w:color w:val="212121"/>
                <w:lang w:eastAsia="it-IT"/>
              </w:rPr>
            </w:pPr>
            <w:r w:rsidRPr="006E0488">
              <w:rPr>
                <w:rFonts w:ascii="Overpass" w:eastAsia="Times New Roman" w:hAnsi="Overpass" w:cs="Calibri"/>
                <w:color w:val="212121"/>
                <w:lang w:eastAsia="it-IT"/>
              </w:rPr>
              <w:t> </w:t>
            </w:r>
          </w:p>
        </w:tc>
        <w:tc>
          <w:tcPr>
            <w:tcW w:w="2665" w:type="dxa"/>
            <w:vAlign w:val="bottom"/>
            <w:hideMark/>
          </w:tcPr>
          <w:p w14:paraId="231991EA" w14:textId="77777777" w:rsidR="006E0488" w:rsidRPr="006E0488" w:rsidRDefault="006E0488" w:rsidP="006E0488">
            <w:pPr>
              <w:shd w:val="clear" w:color="auto" w:fill="FFFFFF"/>
              <w:spacing w:after="0" w:line="240" w:lineRule="auto"/>
              <w:jc w:val="right"/>
              <w:rPr>
                <w:rFonts w:ascii="Overpass" w:eastAsia="Times New Roman" w:hAnsi="Overpass" w:cs="Calibri"/>
                <w:color w:val="212121"/>
                <w:lang w:eastAsia="it-IT"/>
              </w:rPr>
            </w:pPr>
            <w:r w:rsidRPr="006E0488">
              <w:rPr>
                <w:rFonts w:ascii="Overpass" w:eastAsia="Times New Roman" w:hAnsi="Overpass" w:cs="Calibri"/>
                <w:b/>
                <w:bCs/>
                <w:i/>
                <w:iCs/>
                <w:color w:val="212121"/>
                <w:lang w:eastAsia="it-IT"/>
              </w:rPr>
              <w:t>US$</w:t>
            </w:r>
          </w:p>
        </w:tc>
        <w:tc>
          <w:tcPr>
            <w:tcW w:w="0" w:type="auto"/>
            <w:vAlign w:val="bottom"/>
            <w:hideMark/>
          </w:tcPr>
          <w:p w14:paraId="26FF89C3" w14:textId="77777777" w:rsidR="006E0488" w:rsidRPr="006E0488" w:rsidRDefault="006E0488" w:rsidP="006E0488">
            <w:pPr>
              <w:shd w:val="clear" w:color="auto" w:fill="FFFFFF"/>
              <w:spacing w:after="0" w:line="240" w:lineRule="auto"/>
              <w:jc w:val="right"/>
              <w:rPr>
                <w:rFonts w:ascii="Overpass" w:eastAsia="Times New Roman" w:hAnsi="Overpass" w:cs="Calibri"/>
                <w:color w:val="212121"/>
                <w:lang w:eastAsia="it-IT"/>
              </w:rPr>
            </w:pPr>
            <w:r w:rsidRPr="006E0488">
              <w:rPr>
                <w:rFonts w:ascii="Overpass" w:eastAsia="Times New Roman" w:hAnsi="Overpass" w:cs="Calibri"/>
                <w:color w:val="212121"/>
                <w:lang w:eastAsia="it-IT"/>
              </w:rPr>
              <w:t> </w:t>
            </w:r>
          </w:p>
        </w:tc>
        <w:tc>
          <w:tcPr>
            <w:tcW w:w="2213" w:type="dxa"/>
            <w:vAlign w:val="bottom"/>
            <w:hideMark/>
          </w:tcPr>
          <w:p w14:paraId="3454C9D1" w14:textId="77777777" w:rsidR="006E0488" w:rsidRPr="006E0488" w:rsidRDefault="006E0488" w:rsidP="006E0488">
            <w:pPr>
              <w:shd w:val="clear" w:color="auto" w:fill="FFFFFF"/>
              <w:spacing w:after="0" w:line="240" w:lineRule="auto"/>
              <w:jc w:val="right"/>
              <w:rPr>
                <w:rFonts w:ascii="Overpass" w:eastAsia="Times New Roman" w:hAnsi="Overpass" w:cs="Calibri"/>
                <w:color w:val="212121"/>
                <w:lang w:eastAsia="it-IT"/>
              </w:rPr>
            </w:pPr>
            <w:r w:rsidRPr="006E0488">
              <w:rPr>
                <w:rFonts w:ascii="Overpass" w:eastAsia="Times New Roman" w:hAnsi="Overpass" w:cs="Calibri"/>
                <w:b/>
                <w:bCs/>
                <w:i/>
                <w:iCs/>
                <w:color w:val="212121"/>
                <w:lang w:eastAsia="it-IT"/>
              </w:rPr>
              <w:t>US$</w:t>
            </w:r>
          </w:p>
        </w:tc>
      </w:tr>
      <w:tr w:rsidR="006E0488" w:rsidRPr="006E0488" w14:paraId="7AC09BA9" w14:textId="77777777" w:rsidTr="006E0488">
        <w:tc>
          <w:tcPr>
            <w:tcW w:w="4253" w:type="dxa"/>
            <w:vAlign w:val="bottom"/>
            <w:hideMark/>
          </w:tcPr>
          <w:p w14:paraId="2F9CD4B8" w14:textId="77777777" w:rsidR="006E0488" w:rsidRPr="006E0488" w:rsidRDefault="006E0488" w:rsidP="006E0488">
            <w:pPr>
              <w:shd w:val="clear" w:color="auto" w:fill="FFFFFF"/>
              <w:spacing w:after="0" w:line="240" w:lineRule="auto"/>
              <w:jc w:val="both"/>
              <w:rPr>
                <w:rFonts w:ascii="Overpass" w:eastAsia="Times New Roman" w:hAnsi="Overpass" w:cs="Calibri"/>
                <w:color w:val="212121"/>
                <w:lang w:eastAsia="it-IT"/>
              </w:rPr>
            </w:pPr>
            <w:r w:rsidRPr="006E0488">
              <w:rPr>
                <w:rFonts w:ascii="Overpass" w:eastAsia="Times New Roman" w:hAnsi="Overpass" w:cs="Calibri"/>
                <w:b/>
                <w:bCs/>
                <w:color w:val="212121"/>
                <w:lang w:eastAsia="it-IT"/>
              </w:rPr>
              <w:t>Revenues:</w:t>
            </w:r>
          </w:p>
        </w:tc>
        <w:tc>
          <w:tcPr>
            <w:tcW w:w="2665" w:type="dxa"/>
            <w:vAlign w:val="bottom"/>
            <w:hideMark/>
          </w:tcPr>
          <w:p w14:paraId="2E996C7D" w14:textId="77777777" w:rsidR="006E0488" w:rsidRPr="006E0488" w:rsidRDefault="006E0488" w:rsidP="006E0488">
            <w:pPr>
              <w:shd w:val="clear" w:color="auto" w:fill="FFFFFF"/>
              <w:spacing w:after="0" w:line="240" w:lineRule="auto"/>
              <w:jc w:val="right"/>
              <w:rPr>
                <w:rFonts w:ascii="Overpass" w:eastAsia="Times New Roman" w:hAnsi="Overpass" w:cs="Calibri"/>
                <w:color w:val="212121"/>
                <w:lang w:eastAsia="it-IT"/>
              </w:rPr>
            </w:pPr>
            <w:r w:rsidRPr="006E0488">
              <w:rPr>
                <w:rFonts w:ascii="Overpass" w:eastAsia="Times New Roman" w:hAnsi="Overpass" w:cs="Calibri"/>
                <w:color w:val="212121"/>
                <w:lang w:eastAsia="it-IT"/>
              </w:rPr>
              <w:t> </w:t>
            </w:r>
          </w:p>
        </w:tc>
        <w:tc>
          <w:tcPr>
            <w:tcW w:w="0" w:type="auto"/>
            <w:vAlign w:val="bottom"/>
            <w:hideMark/>
          </w:tcPr>
          <w:p w14:paraId="4EE3C27D" w14:textId="77777777" w:rsidR="006E0488" w:rsidRPr="006E0488" w:rsidRDefault="006E0488" w:rsidP="006E0488">
            <w:pPr>
              <w:shd w:val="clear" w:color="auto" w:fill="FFFFFF"/>
              <w:spacing w:after="0" w:line="240" w:lineRule="auto"/>
              <w:jc w:val="right"/>
              <w:rPr>
                <w:rFonts w:ascii="Overpass" w:eastAsia="Times New Roman" w:hAnsi="Overpass" w:cs="Calibri"/>
                <w:color w:val="212121"/>
                <w:lang w:eastAsia="it-IT"/>
              </w:rPr>
            </w:pPr>
            <w:r w:rsidRPr="006E0488">
              <w:rPr>
                <w:rFonts w:ascii="Overpass" w:eastAsia="Times New Roman" w:hAnsi="Overpass" w:cs="Calibri"/>
                <w:color w:val="212121"/>
                <w:lang w:eastAsia="it-IT"/>
              </w:rPr>
              <w:t> </w:t>
            </w:r>
          </w:p>
        </w:tc>
        <w:tc>
          <w:tcPr>
            <w:tcW w:w="2213" w:type="dxa"/>
            <w:vAlign w:val="bottom"/>
            <w:hideMark/>
          </w:tcPr>
          <w:p w14:paraId="12A90F67" w14:textId="77777777" w:rsidR="006E0488" w:rsidRPr="006E0488" w:rsidRDefault="006E0488" w:rsidP="006E0488">
            <w:pPr>
              <w:shd w:val="clear" w:color="auto" w:fill="FFFFFF"/>
              <w:spacing w:after="0" w:line="240" w:lineRule="auto"/>
              <w:jc w:val="right"/>
              <w:rPr>
                <w:rFonts w:ascii="Overpass" w:eastAsia="Times New Roman" w:hAnsi="Overpass" w:cs="Calibri"/>
                <w:color w:val="212121"/>
                <w:lang w:eastAsia="it-IT"/>
              </w:rPr>
            </w:pPr>
            <w:r w:rsidRPr="006E0488">
              <w:rPr>
                <w:rFonts w:ascii="Overpass" w:eastAsia="Times New Roman" w:hAnsi="Overpass" w:cs="Calibri"/>
                <w:color w:val="212121"/>
                <w:lang w:eastAsia="it-IT"/>
              </w:rPr>
              <w:t> </w:t>
            </w:r>
          </w:p>
        </w:tc>
      </w:tr>
      <w:tr w:rsidR="006E0488" w:rsidRPr="006E0488" w14:paraId="406F5615" w14:textId="77777777" w:rsidTr="006E0488">
        <w:tc>
          <w:tcPr>
            <w:tcW w:w="4253" w:type="dxa"/>
            <w:vAlign w:val="bottom"/>
            <w:hideMark/>
          </w:tcPr>
          <w:p w14:paraId="4A2099E8" w14:textId="77777777" w:rsidR="006E0488" w:rsidRPr="006E0488" w:rsidRDefault="006E0488" w:rsidP="006E0488">
            <w:pPr>
              <w:shd w:val="clear" w:color="auto" w:fill="FFFFFF"/>
              <w:spacing w:after="0" w:line="240" w:lineRule="auto"/>
              <w:jc w:val="both"/>
              <w:rPr>
                <w:rFonts w:ascii="Overpass" w:eastAsia="Times New Roman" w:hAnsi="Overpass" w:cs="Calibri"/>
                <w:color w:val="212121"/>
                <w:lang w:eastAsia="it-IT"/>
              </w:rPr>
            </w:pPr>
            <w:r w:rsidRPr="006E0488">
              <w:rPr>
                <w:rFonts w:ascii="Overpass" w:eastAsia="Times New Roman" w:hAnsi="Overpass" w:cs="Calibri"/>
                <w:color w:val="212121"/>
                <w:lang w:eastAsia="it-IT"/>
              </w:rPr>
              <w:t>Sales of goods</w:t>
            </w:r>
          </w:p>
        </w:tc>
        <w:tc>
          <w:tcPr>
            <w:tcW w:w="2665" w:type="dxa"/>
            <w:tcMar>
              <w:top w:w="15" w:type="dxa"/>
              <w:left w:w="15" w:type="dxa"/>
              <w:bottom w:w="15" w:type="dxa"/>
              <w:right w:w="0" w:type="dxa"/>
            </w:tcMar>
            <w:vAlign w:val="bottom"/>
            <w:hideMark/>
          </w:tcPr>
          <w:p w14:paraId="5FBD2854" w14:textId="77777777" w:rsidR="006E0488" w:rsidRPr="006E0488" w:rsidRDefault="006E0488" w:rsidP="006E0488">
            <w:pPr>
              <w:shd w:val="clear" w:color="auto" w:fill="FFFFFF"/>
              <w:spacing w:after="0" w:line="240" w:lineRule="auto"/>
              <w:jc w:val="right"/>
              <w:rPr>
                <w:rFonts w:ascii="Overpass" w:eastAsia="Times New Roman" w:hAnsi="Overpass" w:cs="Calibri"/>
                <w:color w:val="212121"/>
                <w:lang w:eastAsia="it-IT"/>
              </w:rPr>
            </w:pPr>
            <w:r w:rsidRPr="006E0488">
              <w:rPr>
                <w:rFonts w:ascii="Overpass" w:eastAsia="Times New Roman" w:hAnsi="Overpass" w:cs="Calibri"/>
                <w:color w:val="212121"/>
                <w:lang w:eastAsia="it-IT"/>
              </w:rPr>
              <w:t>160,784</w:t>
            </w:r>
          </w:p>
        </w:tc>
        <w:tc>
          <w:tcPr>
            <w:tcW w:w="0" w:type="auto"/>
            <w:vAlign w:val="bottom"/>
            <w:hideMark/>
          </w:tcPr>
          <w:p w14:paraId="76C1108E" w14:textId="77777777" w:rsidR="006E0488" w:rsidRPr="006E0488" w:rsidRDefault="006E0488" w:rsidP="006E0488">
            <w:pPr>
              <w:shd w:val="clear" w:color="auto" w:fill="FFFFFF"/>
              <w:spacing w:after="0" w:line="240" w:lineRule="auto"/>
              <w:jc w:val="right"/>
              <w:rPr>
                <w:rFonts w:ascii="Overpass" w:eastAsia="Times New Roman" w:hAnsi="Overpass" w:cs="Calibri"/>
                <w:color w:val="212121"/>
                <w:lang w:eastAsia="it-IT"/>
              </w:rPr>
            </w:pPr>
            <w:r w:rsidRPr="006E0488">
              <w:rPr>
                <w:rFonts w:ascii="Overpass" w:eastAsia="Times New Roman" w:hAnsi="Overpass" w:cs="Calibri"/>
                <w:color w:val="212121"/>
                <w:lang w:eastAsia="it-IT"/>
              </w:rPr>
              <w:t> </w:t>
            </w:r>
          </w:p>
        </w:tc>
        <w:tc>
          <w:tcPr>
            <w:tcW w:w="2213" w:type="dxa"/>
            <w:tcMar>
              <w:top w:w="15" w:type="dxa"/>
              <w:left w:w="15" w:type="dxa"/>
              <w:bottom w:w="15" w:type="dxa"/>
              <w:right w:w="0" w:type="dxa"/>
            </w:tcMar>
            <w:vAlign w:val="bottom"/>
            <w:hideMark/>
          </w:tcPr>
          <w:p w14:paraId="67A502F5" w14:textId="77777777" w:rsidR="006E0488" w:rsidRPr="006E0488" w:rsidRDefault="006E0488" w:rsidP="006E0488">
            <w:pPr>
              <w:shd w:val="clear" w:color="auto" w:fill="FFFFFF"/>
              <w:spacing w:after="0" w:line="240" w:lineRule="auto"/>
              <w:jc w:val="right"/>
              <w:rPr>
                <w:rFonts w:ascii="Overpass" w:eastAsia="Times New Roman" w:hAnsi="Overpass" w:cs="Calibri"/>
                <w:color w:val="212121"/>
                <w:lang w:eastAsia="it-IT"/>
              </w:rPr>
            </w:pPr>
            <w:r w:rsidRPr="006E0488">
              <w:rPr>
                <w:rFonts w:ascii="Overpass" w:eastAsia="Times New Roman" w:hAnsi="Overpass" w:cs="Calibri"/>
                <w:color w:val="212121"/>
                <w:lang w:eastAsia="it-IT"/>
              </w:rPr>
              <w:t>16,483</w:t>
            </w:r>
          </w:p>
        </w:tc>
      </w:tr>
      <w:tr w:rsidR="006E0488" w:rsidRPr="006E0488" w14:paraId="621612F0" w14:textId="77777777" w:rsidTr="006E0488">
        <w:tc>
          <w:tcPr>
            <w:tcW w:w="4253" w:type="dxa"/>
            <w:vAlign w:val="bottom"/>
            <w:hideMark/>
          </w:tcPr>
          <w:p w14:paraId="0A463EBF" w14:textId="77777777" w:rsidR="006E0488" w:rsidRPr="006E0488" w:rsidRDefault="006E0488" w:rsidP="006E0488">
            <w:pPr>
              <w:shd w:val="clear" w:color="auto" w:fill="FFFFFF"/>
              <w:spacing w:after="0" w:line="240" w:lineRule="auto"/>
              <w:jc w:val="both"/>
              <w:rPr>
                <w:rFonts w:ascii="Overpass" w:eastAsia="Times New Roman" w:hAnsi="Overpass" w:cs="Calibri"/>
                <w:color w:val="212121"/>
                <w:lang w:eastAsia="it-IT"/>
              </w:rPr>
            </w:pPr>
            <w:r w:rsidRPr="006E0488">
              <w:rPr>
                <w:rFonts w:ascii="Overpass" w:eastAsia="Times New Roman" w:hAnsi="Overpass" w:cs="Calibri"/>
                <w:color w:val="212121"/>
                <w:lang w:eastAsia="it-IT"/>
              </w:rPr>
              <w:t>Service revenues</w:t>
            </w:r>
          </w:p>
        </w:tc>
        <w:tc>
          <w:tcPr>
            <w:tcW w:w="2665" w:type="dxa"/>
            <w:tcBorders>
              <w:bottom w:val="single" w:sz="8" w:space="0" w:color="000000"/>
            </w:tcBorders>
            <w:tcMar>
              <w:top w:w="15" w:type="dxa"/>
              <w:left w:w="15" w:type="dxa"/>
              <w:bottom w:w="15" w:type="dxa"/>
              <w:right w:w="0" w:type="dxa"/>
            </w:tcMar>
            <w:vAlign w:val="bottom"/>
            <w:hideMark/>
          </w:tcPr>
          <w:p w14:paraId="43E1D411" w14:textId="77777777" w:rsidR="006E0488" w:rsidRPr="006E0488" w:rsidRDefault="006E0488" w:rsidP="006E0488">
            <w:pPr>
              <w:shd w:val="clear" w:color="auto" w:fill="FFFFFF"/>
              <w:spacing w:after="0" w:line="240" w:lineRule="auto"/>
              <w:jc w:val="right"/>
              <w:rPr>
                <w:rFonts w:ascii="Overpass" w:eastAsia="Times New Roman" w:hAnsi="Overpass" w:cs="Calibri"/>
                <w:color w:val="212121"/>
                <w:lang w:eastAsia="it-IT"/>
              </w:rPr>
            </w:pPr>
            <w:r w:rsidRPr="006E0488">
              <w:rPr>
                <w:rFonts w:ascii="Overpass" w:eastAsia="Times New Roman" w:hAnsi="Overpass" w:cs="Calibri"/>
                <w:color w:val="212121"/>
                <w:lang w:eastAsia="it-IT"/>
              </w:rPr>
              <w:t>12,298</w:t>
            </w:r>
          </w:p>
        </w:tc>
        <w:tc>
          <w:tcPr>
            <w:tcW w:w="0" w:type="auto"/>
            <w:vAlign w:val="bottom"/>
            <w:hideMark/>
          </w:tcPr>
          <w:p w14:paraId="4991703C" w14:textId="77777777" w:rsidR="006E0488" w:rsidRPr="006E0488" w:rsidRDefault="006E0488" w:rsidP="006E0488">
            <w:pPr>
              <w:shd w:val="clear" w:color="auto" w:fill="FFFFFF"/>
              <w:spacing w:after="0" w:line="240" w:lineRule="auto"/>
              <w:jc w:val="right"/>
              <w:rPr>
                <w:rFonts w:ascii="Overpass" w:eastAsia="Times New Roman" w:hAnsi="Overpass" w:cs="Calibri"/>
                <w:color w:val="212121"/>
                <w:lang w:eastAsia="it-IT"/>
              </w:rPr>
            </w:pPr>
            <w:r w:rsidRPr="006E0488">
              <w:rPr>
                <w:rFonts w:ascii="Overpass" w:eastAsia="Times New Roman" w:hAnsi="Overpass" w:cs="Calibri"/>
                <w:color w:val="212121"/>
                <w:lang w:eastAsia="it-IT"/>
              </w:rPr>
              <w:t> </w:t>
            </w:r>
          </w:p>
        </w:tc>
        <w:tc>
          <w:tcPr>
            <w:tcW w:w="2213" w:type="dxa"/>
            <w:tcBorders>
              <w:bottom w:val="single" w:sz="8" w:space="0" w:color="000000"/>
            </w:tcBorders>
            <w:tcMar>
              <w:top w:w="15" w:type="dxa"/>
              <w:left w:w="15" w:type="dxa"/>
              <w:bottom w:w="15" w:type="dxa"/>
              <w:right w:w="0" w:type="dxa"/>
            </w:tcMar>
            <w:vAlign w:val="bottom"/>
            <w:hideMark/>
          </w:tcPr>
          <w:p w14:paraId="6B8B8263" w14:textId="77777777" w:rsidR="006E0488" w:rsidRPr="006E0488" w:rsidRDefault="006E0488" w:rsidP="006E0488">
            <w:pPr>
              <w:shd w:val="clear" w:color="auto" w:fill="FFFFFF"/>
              <w:spacing w:after="0" w:line="240" w:lineRule="auto"/>
              <w:jc w:val="right"/>
              <w:rPr>
                <w:rFonts w:ascii="Overpass" w:eastAsia="Times New Roman" w:hAnsi="Overpass" w:cs="Calibri"/>
                <w:color w:val="212121"/>
                <w:lang w:eastAsia="it-IT"/>
              </w:rPr>
            </w:pPr>
            <w:r w:rsidRPr="006E0488">
              <w:rPr>
                <w:rFonts w:ascii="Overpass" w:eastAsia="Times New Roman" w:hAnsi="Overpass" w:cs="Calibri"/>
                <w:color w:val="212121"/>
                <w:lang w:eastAsia="it-IT"/>
              </w:rPr>
              <w:t>2,638</w:t>
            </w:r>
          </w:p>
        </w:tc>
      </w:tr>
      <w:tr w:rsidR="006E0488" w:rsidRPr="006E0488" w14:paraId="3EAD0C39" w14:textId="77777777" w:rsidTr="006E0488">
        <w:tc>
          <w:tcPr>
            <w:tcW w:w="4253" w:type="dxa"/>
            <w:vAlign w:val="bottom"/>
            <w:hideMark/>
          </w:tcPr>
          <w:p w14:paraId="03E16E83" w14:textId="77777777" w:rsidR="006E0488" w:rsidRPr="006E0488" w:rsidRDefault="006E0488" w:rsidP="006E0488">
            <w:pPr>
              <w:shd w:val="clear" w:color="auto" w:fill="FFFFFF"/>
              <w:spacing w:after="0" w:line="240" w:lineRule="auto"/>
              <w:jc w:val="both"/>
              <w:rPr>
                <w:rFonts w:ascii="Overpass" w:eastAsia="Times New Roman" w:hAnsi="Overpass" w:cs="Calibri"/>
                <w:color w:val="212121"/>
                <w:lang w:eastAsia="it-IT"/>
              </w:rPr>
            </w:pPr>
            <w:r w:rsidRPr="006E0488">
              <w:rPr>
                <w:rFonts w:ascii="Overpass" w:eastAsia="Times New Roman" w:hAnsi="Overpass" w:cs="Calibri"/>
                <w:b/>
                <w:bCs/>
                <w:color w:val="212121"/>
                <w:lang w:eastAsia="it-IT"/>
              </w:rPr>
              <w:t>Total revenues</w:t>
            </w:r>
          </w:p>
        </w:tc>
        <w:tc>
          <w:tcPr>
            <w:tcW w:w="2665" w:type="dxa"/>
            <w:tcBorders>
              <w:bottom w:val="single" w:sz="8" w:space="0" w:color="000000"/>
            </w:tcBorders>
            <w:tcMar>
              <w:top w:w="15" w:type="dxa"/>
              <w:left w:w="15" w:type="dxa"/>
              <w:bottom w:w="15" w:type="dxa"/>
              <w:right w:w="0" w:type="dxa"/>
            </w:tcMar>
            <w:vAlign w:val="bottom"/>
            <w:hideMark/>
          </w:tcPr>
          <w:p w14:paraId="7A594B96" w14:textId="77777777" w:rsidR="006E0488" w:rsidRPr="006E0488" w:rsidRDefault="006E0488" w:rsidP="006E0488">
            <w:pPr>
              <w:shd w:val="clear" w:color="auto" w:fill="FFFFFF"/>
              <w:spacing w:after="0" w:line="240" w:lineRule="auto"/>
              <w:jc w:val="right"/>
              <w:rPr>
                <w:rFonts w:ascii="Overpass" w:eastAsia="Times New Roman" w:hAnsi="Overpass" w:cs="Calibri"/>
                <w:color w:val="212121"/>
                <w:lang w:eastAsia="it-IT"/>
              </w:rPr>
            </w:pPr>
            <w:r w:rsidRPr="006E0488">
              <w:rPr>
                <w:rFonts w:ascii="Overpass" w:eastAsia="Times New Roman" w:hAnsi="Overpass" w:cs="Calibri"/>
                <w:b/>
                <w:bCs/>
                <w:color w:val="212121"/>
                <w:lang w:eastAsia="it-IT"/>
              </w:rPr>
              <w:t>173,082</w:t>
            </w:r>
          </w:p>
        </w:tc>
        <w:tc>
          <w:tcPr>
            <w:tcW w:w="0" w:type="auto"/>
            <w:vAlign w:val="bottom"/>
            <w:hideMark/>
          </w:tcPr>
          <w:p w14:paraId="4EB5BBF1" w14:textId="77777777" w:rsidR="006E0488" w:rsidRPr="006E0488" w:rsidRDefault="006E0488" w:rsidP="006E0488">
            <w:pPr>
              <w:shd w:val="clear" w:color="auto" w:fill="FFFFFF"/>
              <w:spacing w:after="0" w:line="240" w:lineRule="auto"/>
              <w:jc w:val="right"/>
              <w:rPr>
                <w:rFonts w:ascii="Overpass" w:eastAsia="Times New Roman" w:hAnsi="Overpass" w:cs="Calibri"/>
                <w:color w:val="212121"/>
                <w:lang w:eastAsia="it-IT"/>
              </w:rPr>
            </w:pPr>
            <w:r w:rsidRPr="006E0488">
              <w:rPr>
                <w:rFonts w:ascii="Overpass" w:eastAsia="Times New Roman" w:hAnsi="Overpass" w:cs="Calibri"/>
                <w:color w:val="212121"/>
                <w:lang w:eastAsia="it-IT"/>
              </w:rPr>
              <w:t> </w:t>
            </w:r>
          </w:p>
        </w:tc>
        <w:tc>
          <w:tcPr>
            <w:tcW w:w="2213" w:type="dxa"/>
            <w:tcBorders>
              <w:bottom w:val="single" w:sz="8" w:space="0" w:color="000000"/>
            </w:tcBorders>
            <w:tcMar>
              <w:top w:w="15" w:type="dxa"/>
              <w:left w:w="15" w:type="dxa"/>
              <w:bottom w:w="15" w:type="dxa"/>
              <w:right w:w="0" w:type="dxa"/>
            </w:tcMar>
            <w:vAlign w:val="bottom"/>
            <w:hideMark/>
          </w:tcPr>
          <w:p w14:paraId="2CF7EF88" w14:textId="77777777" w:rsidR="006E0488" w:rsidRPr="006E0488" w:rsidRDefault="006E0488" w:rsidP="006E0488">
            <w:pPr>
              <w:shd w:val="clear" w:color="auto" w:fill="FFFFFF"/>
              <w:spacing w:after="0" w:line="240" w:lineRule="auto"/>
              <w:jc w:val="right"/>
              <w:rPr>
                <w:rFonts w:ascii="Overpass" w:eastAsia="Times New Roman" w:hAnsi="Overpass" w:cs="Calibri"/>
                <w:color w:val="212121"/>
                <w:lang w:eastAsia="it-IT"/>
              </w:rPr>
            </w:pPr>
            <w:r w:rsidRPr="006E0488">
              <w:rPr>
                <w:rFonts w:ascii="Overpass" w:eastAsia="Times New Roman" w:hAnsi="Overpass" w:cs="Calibri"/>
                <w:b/>
                <w:bCs/>
                <w:color w:val="212121"/>
                <w:lang w:eastAsia="it-IT"/>
              </w:rPr>
              <w:t>19,121</w:t>
            </w:r>
          </w:p>
        </w:tc>
      </w:tr>
      <w:tr w:rsidR="006E0488" w:rsidRPr="006E0488" w14:paraId="05115ADC" w14:textId="77777777" w:rsidTr="006E0488">
        <w:tc>
          <w:tcPr>
            <w:tcW w:w="4253" w:type="dxa"/>
            <w:vAlign w:val="bottom"/>
            <w:hideMark/>
          </w:tcPr>
          <w:p w14:paraId="0FBABC0E" w14:textId="77777777" w:rsidR="006E0488" w:rsidRPr="006E0488" w:rsidRDefault="006E0488" w:rsidP="006E0488">
            <w:pPr>
              <w:shd w:val="clear" w:color="auto" w:fill="FFFFFF"/>
              <w:spacing w:after="0" w:line="240" w:lineRule="auto"/>
              <w:jc w:val="both"/>
              <w:rPr>
                <w:rFonts w:ascii="Overpass" w:eastAsia="Times New Roman" w:hAnsi="Overpass" w:cs="Calibri"/>
                <w:color w:val="212121"/>
                <w:lang w:eastAsia="it-IT"/>
              </w:rPr>
            </w:pPr>
            <w:r w:rsidRPr="006E0488">
              <w:rPr>
                <w:rFonts w:ascii="Overpass" w:eastAsia="Times New Roman" w:hAnsi="Overpass" w:cs="Calibri"/>
                <w:b/>
                <w:bCs/>
                <w:color w:val="212121"/>
                <w:lang w:eastAsia="it-IT"/>
              </w:rPr>
              <w:t>Cost of revenues:</w:t>
            </w:r>
          </w:p>
        </w:tc>
        <w:tc>
          <w:tcPr>
            <w:tcW w:w="2665" w:type="dxa"/>
            <w:vAlign w:val="bottom"/>
            <w:hideMark/>
          </w:tcPr>
          <w:p w14:paraId="09CD144B" w14:textId="77777777" w:rsidR="006E0488" w:rsidRPr="006E0488" w:rsidRDefault="006E0488" w:rsidP="006E0488">
            <w:pPr>
              <w:shd w:val="clear" w:color="auto" w:fill="FFFFFF"/>
              <w:spacing w:after="0" w:line="240" w:lineRule="auto"/>
              <w:jc w:val="right"/>
              <w:rPr>
                <w:rFonts w:ascii="Overpass" w:eastAsia="Times New Roman" w:hAnsi="Overpass" w:cs="Calibri"/>
                <w:color w:val="212121"/>
                <w:lang w:eastAsia="it-IT"/>
              </w:rPr>
            </w:pPr>
            <w:r w:rsidRPr="006E0488">
              <w:rPr>
                <w:rFonts w:ascii="Overpass" w:eastAsia="Times New Roman" w:hAnsi="Overpass" w:cs="Calibri"/>
                <w:color w:val="212121"/>
                <w:lang w:eastAsia="it-IT"/>
              </w:rPr>
              <w:t> </w:t>
            </w:r>
          </w:p>
        </w:tc>
        <w:tc>
          <w:tcPr>
            <w:tcW w:w="0" w:type="auto"/>
            <w:vAlign w:val="bottom"/>
            <w:hideMark/>
          </w:tcPr>
          <w:p w14:paraId="1B90455C" w14:textId="77777777" w:rsidR="006E0488" w:rsidRPr="006E0488" w:rsidRDefault="006E0488" w:rsidP="006E0488">
            <w:pPr>
              <w:shd w:val="clear" w:color="auto" w:fill="FFFFFF"/>
              <w:spacing w:after="0" w:line="240" w:lineRule="auto"/>
              <w:jc w:val="right"/>
              <w:rPr>
                <w:rFonts w:ascii="Overpass" w:eastAsia="Times New Roman" w:hAnsi="Overpass" w:cs="Calibri"/>
                <w:color w:val="212121"/>
                <w:lang w:eastAsia="it-IT"/>
              </w:rPr>
            </w:pPr>
            <w:r w:rsidRPr="006E0488">
              <w:rPr>
                <w:rFonts w:ascii="Overpass" w:eastAsia="Times New Roman" w:hAnsi="Overpass" w:cs="Calibri"/>
                <w:color w:val="212121"/>
                <w:lang w:eastAsia="it-IT"/>
              </w:rPr>
              <w:t> </w:t>
            </w:r>
          </w:p>
        </w:tc>
        <w:tc>
          <w:tcPr>
            <w:tcW w:w="2213" w:type="dxa"/>
            <w:vAlign w:val="bottom"/>
            <w:hideMark/>
          </w:tcPr>
          <w:p w14:paraId="08C1922C" w14:textId="77777777" w:rsidR="006E0488" w:rsidRPr="006E0488" w:rsidRDefault="006E0488" w:rsidP="006E0488">
            <w:pPr>
              <w:shd w:val="clear" w:color="auto" w:fill="FFFFFF"/>
              <w:spacing w:after="0" w:line="240" w:lineRule="auto"/>
              <w:jc w:val="right"/>
              <w:rPr>
                <w:rFonts w:ascii="Overpass" w:eastAsia="Times New Roman" w:hAnsi="Overpass" w:cs="Calibri"/>
                <w:color w:val="212121"/>
                <w:lang w:eastAsia="it-IT"/>
              </w:rPr>
            </w:pPr>
            <w:r w:rsidRPr="006E0488">
              <w:rPr>
                <w:rFonts w:ascii="Overpass" w:eastAsia="Times New Roman" w:hAnsi="Overpass" w:cs="Calibri"/>
                <w:color w:val="212121"/>
                <w:lang w:eastAsia="it-IT"/>
              </w:rPr>
              <w:t> </w:t>
            </w:r>
          </w:p>
        </w:tc>
      </w:tr>
      <w:tr w:rsidR="006E0488" w:rsidRPr="006E0488" w14:paraId="32218C83" w14:textId="77777777" w:rsidTr="006E0488">
        <w:tc>
          <w:tcPr>
            <w:tcW w:w="4253" w:type="dxa"/>
            <w:vAlign w:val="bottom"/>
            <w:hideMark/>
          </w:tcPr>
          <w:p w14:paraId="05D7583B" w14:textId="77777777" w:rsidR="006E0488" w:rsidRPr="006E0488" w:rsidRDefault="006E0488" w:rsidP="006E0488">
            <w:pPr>
              <w:shd w:val="clear" w:color="auto" w:fill="FFFFFF"/>
              <w:spacing w:after="0" w:line="240" w:lineRule="auto"/>
              <w:jc w:val="both"/>
              <w:rPr>
                <w:rFonts w:ascii="Overpass" w:eastAsia="Times New Roman" w:hAnsi="Overpass" w:cs="Calibri"/>
                <w:color w:val="212121"/>
                <w:lang w:eastAsia="it-IT"/>
              </w:rPr>
            </w:pPr>
            <w:r w:rsidRPr="006E0488">
              <w:rPr>
                <w:rFonts w:ascii="Overpass" w:eastAsia="Times New Roman" w:hAnsi="Overpass" w:cs="Calibri"/>
                <w:color w:val="212121"/>
                <w:lang w:eastAsia="it-IT"/>
              </w:rPr>
              <w:t>Cost of goods sold</w:t>
            </w:r>
          </w:p>
        </w:tc>
        <w:tc>
          <w:tcPr>
            <w:tcW w:w="2665" w:type="dxa"/>
            <w:tcMar>
              <w:top w:w="15" w:type="dxa"/>
              <w:left w:w="15" w:type="dxa"/>
              <w:bottom w:w="15" w:type="dxa"/>
              <w:right w:w="0" w:type="dxa"/>
            </w:tcMar>
            <w:vAlign w:val="bottom"/>
            <w:hideMark/>
          </w:tcPr>
          <w:p w14:paraId="31608CA7" w14:textId="77777777" w:rsidR="006E0488" w:rsidRPr="006E0488" w:rsidRDefault="006E0488" w:rsidP="006E0488">
            <w:pPr>
              <w:shd w:val="clear" w:color="auto" w:fill="FFFFFF"/>
              <w:spacing w:after="0" w:line="240" w:lineRule="auto"/>
              <w:jc w:val="right"/>
              <w:rPr>
                <w:rFonts w:ascii="Overpass" w:eastAsia="Times New Roman" w:hAnsi="Overpass" w:cs="Calibri"/>
                <w:color w:val="212121"/>
                <w:lang w:eastAsia="it-IT"/>
              </w:rPr>
            </w:pPr>
            <w:r w:rsidRPr="006E0488">
              <w:rPr>
                <w:rFonts w:ascii="Overpass" w:eastAsia="Times New Roman" w:hAnsi="Overpass" w:cs="Calibri"/>
                <w:color w:val="212121"/>
                <w:lang w:eastAsia="it-IT"/>
              </w:rPr>
              <w:t>(139,273)</w:t>
            </w:r>
          </w:p>
        </w:tc>
        <w:tc>
          <w:tcPr>
            <w:tcW w:w="0" w:type="auto"/>
            <w:vAlign w:val="bottom"/>
            <w:hideMark/>
          </w:tcPr>
          <w:p w14:paraId="6000A581" w14:textId="77777777" w:rsidR="006E0488" w:rsidRPr="006E0488" w:rsidRDefault="006E0488" w:rsidP="006E0488">
            <w:pPr>
              <w:shd w:val="clear" w:color="auto" w:fill="FFFFFF"/>
              <w:spacing w:after="0" w:line="240" w:lineRule="auto"/>
              <w:jc w:val="right"/>
              <w:rPr>
                <w:rFonts w:ascii="Overpass" w:eastAsia="Times New Roman" w:hAnsi="Overpass" w:cs="Calibri"/>
                <w:color w:val="212121"/>
                <w:lang w:eastAsia="it-IT"/>
              </w:rPr>
            </w:pPr>
            <w:r w:rsidRPr="006E0488">
              <w:rPr>
                <w:rFonts w:ascii="Overpass" w:eastAsia="Times New Roman" w:hAnsi="Overpass" w:cs="Calibri"/>
                <w:color w:val="212121"/>
                <w:lang w:eastAsia="it-IT"/>
              </w:rPr>
              <w:t> </w:t>
            </w:r>
          </w:p>
        </w:tc>
        <w:tc>
          <w:tcPr>
            <w:tcW w:w="2213" w:type="dxa"/>
            <w:tcMar>
              <w:top w:w="15" w:type="dxa"/>
              <w:left w:w="15" w:type="dxa"/>
              <w:bottom w:w="15" w:type="dxa"/>
              <w:right w:w="0" w:type="dxa"/>
            </w:tcMar>
            <w:vAlign w:val="bottom"/>
            <w:hideMark/>
          </w:tcPr>
          <w:p w14:paraId="13DA209B" w14:textId="77777777" w:rsidR="006E0488" w:rsidRPr="006E0488" w:rsidRDefault="006E0488" w:rsidP="006E0488">
            <w:pPr>
              <w:shd w:val="clear" w:color="auto" w:fill="FFFFFF"/>
              <w:spacing w:after="0" w:line="240" w:lineRule="auto"/>
              <w:jc w:val="right"/>
              <w:rPr>
                <w:rFonts w:ascii="Overpass" w:eastAsia="Times New Roman" w:hAnsi="Overpass" w:cs="Calibri"/>
                <w:color w:val="212121"/>
                <w:lang w:eastAsia="it-IT"/>
              </w:rPr>
            </w:pPr>
            <w:r w:rsidRPr="006E0488">
              <w:rPr>
                <w:rFonts w:ascii="Overpass" w:eastAsia="Times New Roman" w:hAnsi="Overpass" w:cs="Calibri"/>
                <w:color w:val="212121"/>
                <w:lang w:eastAsia="it-IT"/>
              </w:rPr>
              <w:t>(16,551)</w:t>
            </w:r>
          </w:p>
        </w:tc>
      </w:tr>
      <w:tr w:rsidR="006E0488" w:rsidRPr="006E0488" w14:paraId="035F62AE" w14:textId="77777777" w:rsidTr="006E0488">
        <w:tc>
          <w:tcPr>
            <w:tcW w:w="4253" w:type="dxa"/>
            <w:vAlign w:val="bottom"/>
            <w:hideMark/>
          </w:tcPr>
          <w:p w14:paraId="4C184BE4" w14:textId="77777777" w:rsidR="006E0488" w:rsidRPr="006E0488" w:rsidRDefault="006E0488" w:rsidP="006E0488">
            <w:pPr>
              <w:shd w:val="clear" w:color="auto" w:fill="FFFFFF"/>
              <w:spacing w:after="0" w:line="240" w:lineRule="auto"/>
              <w:jc w:val="both"/>
              <w:rPr>
                <w:rFonts w:ascii="Overpass" w:eastAsia="Times New Roman" w:hAnsi="Overpass" w:cs="Calibri"/>
                <w:color w:val="212121"/>
                <w:lang w:eastAsia="it-IT"/>
              </w:rPr>
            </w:pPr>
            <w:r w:rsidRPr="006E0488">
              <w:rPr>
                <w:rFonts w:ascii="Overpass" w:eastAsia="Times New Roman" w:hAnsi="Overpass" w:cs="Calibri"/>
                <w:color w:val="212121"/>
                <w:lang w:eastAsia="it-IT"/>
              </w:rPr>
              <w:t>Cost of services</w:t>
            </w:r>
          </w:p>
        </w:tc>
        <w:tc>
          <w:tcPr>
            <w:tcW w:w="2665" w:type="dxa"/>
            <w:tcBorders>
              <w:bottom w:val="single" w:sz="8" w:space="0" w:color="000000"/>
            </w:tcBorders>
            <w:tcMar>
              <w:top w:w="15" w:type="dxa"/>
              <w:left w:w="15" w:type="dxa"/>
              <w:bottom w:w="15" w:type="dxa"/>
              <w:right w:w="0" w:type="dxa"/>
            </w:tcMar>
            <w:vAlign w:val="bottom"/>
            <w:hideMark/>
          </w:tcPr>
          <w:p w14:paraId="5B243C8C" w14:textId="77777777" w:rsidR="006E0488" w:rsidRPr="006E0488" w:rsidRDefault="006E0488" w:rsidP="006E0488">
            <w:pPr>
              <w:shd w:val="clear" w:color="auto" w:fill="FFFFFF"/>
              <w:spacing w:after="0" w:line="240" w:lineRule="auto"/>
              <w:jc w:val="right"/>
              <w:rPr>
                <w:rFonts w:ascii="Overpass" w:eastAsia="Times New Roman" w:hAnsi="Overpass" w:cs="Calibri"/>
                <w:color w:val="212121"/>
                <w:lang w:eastAsia="it-IT"/>
              </w:rPr>
            </w:pPr>
            <w:r w:rsidRPr="006E0488">
              <w:rPr>
                <w:rFonts w:ascii="Overpass" w:eastAsia="Times New Roman" w:hAnsi="Overpass" w:cs="Calibri"/>
                <w:color w:val="212121"/>
                <w:lang w:eastAsia="it-IT"/>
              </w:rPr>
              <w:t>(3,495)</w:t>
            </w:r>
          </w:p>
        </w:tc>
        <w:tc>
          <w:tcPr>
            <w:tcW w:w="0" w:type="auto"/>
            <w:vAlign w:val="bottom"/>
            <w:hideMark/>
          </w:tcPr>
          <w:p w14:paraId="1833B515" w14:textId="77777777" w:rsidR="006E0488" w:rsidRPr="006E0488" w:rsidRDefault="006E0488" w:rsidP="006E0488">
            <w:pPr>
              <w:shd w:val="clear" w:color="auto" w:fill="FFFFFF"/>
              <w:spacing w:after="0" w:line="240" w:lineRule="auto"/>
              <w:jc w:val="right"/>
              <w:rPr>
                <w:rFonts w:ascii="Overpass" w:eastAsia="Times New Roman" w:hAnsi="Overpass" w:cs="Calibri"/>
                <w:color w:val="212121"/>
                <w:lang w:eastAsia="it-IT"/>
              </w:rPr>
            </w:pPr>
            <w:r w:rsidRPr="006E0488">
              <w:rPr>
                <w:rFonts w:ascii="Overpass" w:eastAsia="Times New Roman" w:hAnsi="Overpass" w:cs="Calibri"/>
                <w:color w:val="212121"/>
                <w:lang w:eastAsia="it-IT"/>
              </w:rPr>
              <w:t> </w:t>
            </w:r>
          </w:p>
        </w:tc>
        <w:tc>
          <w:tcPr>
            <w:tcW w:w="2213" w:type="dxa"/>
            <w:tcBorders>
              <w:bottom w:val="single" w:sz="8" w:space="0" w:color="000000"/>
            </w:tcBorders>
            <w:tcMar>
              <w:top w:w="15" w:type="dxa"/>
              <w:left w:w="15" w:type="dxa"/>
              <w:bottom w:w="15" w:type="dxa"/>
              <w:right w:w="0" w:type="dxa"/>
            </w:tcMar>
            <w:vAlign w:val="bottom"/>
            <w:hideMark/>
          </w:tcPr>
          <w:p w14:paraId="12B6A187" w14:textId="77777777" w:rsidR="006E0488" w:rsidRPr="006E0488" w:rsidRDefault="006E0488" w:rsidP="006E0488">
            <w:pPr>
              <w:shd w:val="clear" w:color="auto" w:fill="FFFFFF"/>
              <w:spacing w:after="0" w:line="240" w:lineRule="auto"/>
              <w:jc w:val="right"/>
              <w:rPr>
                <w:rFonts w:ascii="Overpass" w:eastAsia="Times New Roman" w:hAnsi="Overpass" w:cs="Calibri"/>
                <w:color w:val="212121"/>
                <w:lang w:eastAsia="it-IT"/>
              </w:rPr>
            </w:pPr>
            <w:r w:rsidRPr="006E0488">
              <w:rPr>
                <w:rFonts w:ascii="Overpass" w:eastAsia="Times New Roman" w:hAnsi="Overpass" w:cs="Calibri"/>
                <w:color w:val="212121"/>
                <w:lang w:eastAsia="it-IT"/>
              </w:rPr>
              <w:t>(2,393)</w:t>
            </w:r>
          </w:p>
        </w:tc>
      </w:tr>
      <w:tr w:rsidR="006E0488" w:rsidRPr="006E0488" w14:paraId="78349DEF" w14:textId="77777777" w:rsidTr="006E0488">
        <w:tc>
          <w:tcPr>
            <w:tcW w:w="4253" w:type="dxa"/>
            <w:vAlign w:val="bottom"/>
            <w:hideMark/>
          </w:tcPr>
          <w:p w14:paraId="7D596E3F" w14:textId="77777777" w:rsidR="006E0488" w:rsidRPr="006E0488" w:rsidRDefault="006E0488" w:rsidP="006E0488">
            <w:pPr>
              <w:shd w:val="clear" w:color="auto" w:fill="FFFFFF"/>
              <w:spacing w:after="0" w:line="240" w:lineRule="auto"/>
              <w:jc w:val="both"/>
              <w:rPr>
                <w:rFonts w:ascii="Overpass" w:eastAsia="Times New Roman" w:hAnsi="Overpass" w:cs="Calibri"/>
                <w:color w:val="212121"/>
                <w:lang w:eastAsia="it-IT"/>
              </w:rPr>
            </w:pPr>
            <w:r w:rsidRPr="006E0488">
              <w:rPr>
                <w:rFonts w:ascii="Overpass" w:eastAsia="Times New Roman" w:hAnsi="Overpass" w:cs="Calibri"/>
                <w:b/>
                <w:bCs/>
                <w:color w:val="212121"/>
                <w:lang w:eastAsia="it-IT"/>
              </w:rPr>
              <w:t>Total cost of revenues</w:t>
            </w:r>
          </w:p>
        </w:tc>
        <w:tc>
          <w:tcPr>
            <w:tcW w:w="2665" w:type="dxa"/>
            <w:tcBorders>
              <w:top w:val="single" w:sz="8" w:space="0" w:color="000000"/>
              <w:bottom w:val="single" w:sz="8" w:space="0" w:color="000000"/>
            </w:tcBorders>
            <w:tcMar>
              <w:top w:w="15" w:type="dxa"/>
              <w:left w:w="15" w:type="dxa"/>
              <w:bottom w:w="15" w:type="dxa"/>
              <w:right w:w="0" w:type="dxa"/>
            </w:tcMar>
            <w:vAlign w:val="bottom"/>
            <w:hideMark/>
          </w:tcPr>
          <w:p w14:paraId="6AE75A33" w14:textId="77777777" w:rsidR="006E0488" w:rsidRPr="006E0488" w:rsidRDefault="006E0488" w:rsidP="006E0488">
            <w:pPr>
              <w:shd w:val="clear" w:color="auto" w:fill="FFFFFF"/>
              <w:spacing w:after="0" w:line="240" w:lineRule="auto"/>
              <w:jc w:val="right"/>
              <w:rPr>
                <w:rFonts w:ascii="Overpass" w:eastAsia="Times New Roman" w:hAnsi="Overpass" w:cs="Calibri"/>
                <w:color w:val="212121"/>
                <w:lang w:eastAsia="it-IT"/>
              </w:rPr>
            </w:pPr>
            <w:r w:rsidRPr="006E0488">
              <w:rPr>
                <w:rFonts w:ascii="Overpass" w:eastAsia="Times New Roman" w:hAnsi="Overpass" w:cs="Calibri"/>
                <w:b/>
                <w:bCs/>
                <w:color w:val="212121"/>
                <w:lang w:eastAsia="it-IT"/>
              </w:rPr>
              <w:t>(142,768)</w:t>
            </w:r>
          </w:p>
        </w:tc>
        <w:tc>
          <w:tcPr>
            <w:tcW w:w="0" w:type="auto"/>
            <w:vAlign w:val="bottom"/>
            <w:hideMark/>
          </w:tcPr>
          <w:p w14:paraId="487C4559" w14:textId="77777777" w:rsidR="006E0488" w:rsidRPr="006E0488" w:rsidRDefault="006E0488" w:rsidP="006E0488">
            <w:pPr>
              <w:shd w:val="clear" w:color="auto" w:fill="FFFFFF"/>
              <w:spacing w:after="0" w:line="240" w:lineRule="auto"/>
              <w:jc w:val="right"/>
              <w:rPr>
                <w:rFonts w:ascii="Overpass" w:eastAsia="Times New Roman" w:hAnsi="Overpass" w:cs="Calibri"/>
                <w:color w:val="212121"/>
                <w:lang w:eastAsia="it-IT"/>
              </w:rPr>
            </w:pPr>
            <w:r w:rsidRPr="006E0488">
              <w:rPr>
                <w:rFonts w:ascii="Overpass" w:eastAsia="Times New Roman" w:hAnsi="Overpass" w:cs="Calibri"/>
                <w:color w:val="212121"/>
                <w:lang w:eastAsia="it-IT"/>
              </w:rPr>
              <w:t> </w:t>
            </w:r>
          </w:p>
        </w:tc>
        <w:tc>
          <w:tcPr>
            <w:tcW w:w="2213" w:type="dxa"/>
            <w:tcBorders>
              <w:top w:val="single" w:sz="8" w:space="0" w:color="000000"/>
              <w:bottom w:val="single" w:sz="8" w:space="0" w:color="000000"/>
            </w:tcBorders>
            <w:tcMar>
              <w:top w:w="15" w:type="dxa"/>
              <w:left w:w="15" w:type="dxa"/>
              <w:bottom w:w="15" w:type="dxa"/>
              <w:right w:w="0" w:type="dxa"/>
            </w:tcMar>
            <w:vAlign w:val="bottom"/>
            <w:hideMark/>
          </w:tcPr>
          <w:p w14:paraId="627D33AF" w14:textId="77777777" w:rsidR="006E0488" w:rsidRPr="006E0488" w:rsidRDefault="006E0488" w:rsidP="006E0488">
            <w:pPr>
              <w:shd w:val="clear" w:color="auto" w:fill="FFFFFF"/>
              <w:spacing w:after="0" w:line="240" w:lineRule="auto"/>
              <w:jc w:val="right"/>
              <w:rPr>
                <w:rFonts w:ascii="Overpass" w:eastAsia="Times New Roman" w:hAnsi="Overpass" w:cs="Calibri"/>
                <w:color w:val="212121"/>
                <w:lang w:eastAsia="it-IT"/>
              </w:rPr>
            </w:pPr>
            <w:r w:rsidRPr="006E0488">
              <w:rPr>
                <w:rFonts w:ascii="Overpass" w:eastAsia="Times New Roman" w:hAnsi="Overpass" w:cs="Calibri"/>
                <w:b/>
                <w:bCs/>
                <w:color w:val="212121"/>
                <w:lang w:eastAsia="it-IT"/>
              </w:rPr>
              <w:t>(18,944)</w:t>
            </w:r>
          </w:p>
        </w:tc>
      </w:tr>
      <w:tr w:rsidR="006E0488" w:rsidRPr="006E0488" w14:paraId="739359F1" w14:textId="77777777" w:rsidTr="006E0488">
        <w:tc>
          <w:tcPr>
            <w:tcW w:w="4253" w:type="dxa"/>
            <w:vAlign w:val="bottom"/>
            <w:hideMark/>
          </w:tcPr>
          <w:p w14:paraId="159BC01B" w14:textId="77777777" w:rsidR="006E0488" w:rsidRPr="006E0488" w:rsidRDefault="006E0488" w:rsidP="006E0488">
            <w:pPr>
              <w:shd w:val="clear" w:color="auto" w:fill="FFFFFF"/>
              <w:spacing w:after="0" w:line="240" w:lineRule="auto"/>
              <w:jc w:val="both"/>
              <w:rPr>
                <w:rFonts w:ascii="Overpass" w:eastAsia="Times New Roman" w:hAnsi="Overpass" w:cs="Calibri"/>
                <w:color w:val="212121"/>
                <w:lang w:eastAsia="it-IT"/>
              </w:rPr>
            </w:pPr>
            <w:r w:rsidRPr="006E0488">
              <w:rPr>
                <w:rFonts w:ascii="Overpass" w:eastAsia="Times New Roman" w:hAnsi="Overpass" w:cs="Calibri"/>
                <w:b/>
                <w:bCs/>
                <w:color w:val="212121"/>
                <w:lang w:eastAsia="it-IT"/>
              </w:rPr>
              <w:t>Gross profit</w:t>
            </w:r>
          </w:p>
        </w:tc>
        <w:tc>
          <w:tcPr>
            <w:tcW w:w="2665" w:type="dxa"/>
            <w:tcBorders>
              <w:top w:val="single" w:sz="8" w:space="0" w:color="000000"/>
            </w:tcBorders>
            <w:tcMar>
              <w:top w:w="15" w:type="dxa"/>
              <w:left w:w="15" w:type="dxa"/>
              <w:bottom w:w="15" w:type="dxa"/>
              <w:right w:w="0" w:type="dxa"/>
            </w:tcMar>
            <w:vAlign w:val="bottom"/>
            <w:hideMark/>
          </w:tcPr>
          <w:p w14:paraId="13257D0A" w14:textId="77777777" w:rsidR="006E0488" w:rsidRPr="006E0488" w:rsidRDefault="006E0488" w:rsidP="006E0488">
            <w:pPr>
              <w:shd w:val="clear" w:color="auto" w:fill="FFFFFF"/>
              <w:spacing w:after="0" w:line="240" w:lineRule="auto"/>
              <w:jc w:val="right"/>
              <w:rPr>
                <w:rFonts w:ascii="Overpass" w:eastAsia="Times New Roman" w:hAnsi="Overpass" w:cs="Calibri"/>
                <w:color w:val="212121"/>
                <w:lang w:eastAsia="it-IT"/>
              </w:rPr>
            </w:pPr>
            <w:r w:rsidRPr="006E0488">
              <w:rPr>
                <w:rFonts w:ascii="Overpass" w:eastAsia="Times New Roman" w:hAnsi="Overpass" w:cs="Calibri"/>
                <w:b/>
                <w:bCs/>
                <w:color w:val="212121"/>
                <w:lang w:eastAsia="it-IT"/>
              </w:rPr>
              <w:t>30,314</w:t>
            </w:r>
          </w:p>
        </w:tc>
        <w:tc>
          <w:tcPr>
            <w:tcW w:w="0" w:type="auto"/>
            <w:vAlign w:val="bottom"/>
            <w:hideMark/>
          </w:tcPr>
          <w:p w14:paraId="203AA913" w14:textId="77777777" w:rsidR="006E0488" w:rsidRPr="006E0488" w:rsidRDefault="006E0488" w:rsidP="006E0488">
            <w:pPr>
              <w:shd w:val="clear" w:color="auto" w:fill="FFFFFF"/>
              <w:spacing w:after="0" w:line="240" w:lineRule="auto"/>
              <w:jc w:val="right"/>
              <w:rPr>
                <w:rFonts w:ascii="Overpass" w:eastAsia="Times New Roman" w:hAnsi="Overpass" w:cs="Calibri"/>
                <w:color w:val="212121"/>
                <w:lang w:eastAsia="it-IT"/>
              </w:rPr>
            </w:pPr>
            <w:r w:rsidRPr="006E0488">
              <w:rPr>
                <w:rFonts w:ascii="Overpass" w:eastAsia="Times New Roman" w:hAnsi="Overpass" w:cs="Calibri"/>
                <w:color w:val="212121"/>
                <w:lang w:eastAsia="it-IT"/>
              </w:rPr>
              <w:t> </w:t>
            </w:r>
          </w:p>
        </w:tc>
        <w:tc>
          <w:tcPr>
            <w:tcW w:w="2213" w:type="dxa"/>
            <w:tcBorders>
              <w:top w:val="single" w:sz="8" w:space="0" w:color="000000"/>
            </w:tcBorders>
            <w:tcMar>
              <w:top w:w="15" w:type="dxa"/>
              <w:left w:w="15" w:type="dxa"/>
              <w:bottom w:w="15" w:type="dxa"/>
              <w:right w:w="0" w:type="dxa"/>
            </w:tcMar>
            <w:vAlign w:val="bottom"/>
            <w:hideMark/>
          </w:tcPr>
          <w:p w14:paraId="0574F979" w14:textId="77777777" w:rsidR="006E0488" w:rsidRPr="006E0488" w:rsidRDefault="006E0488" w:rsidP="006E0488">
            <w:pPr>
              <w:shd w:val="clear" w:color="auto" w:fill="FFFFFF"/>
              <w:spacing w:after="0" w:line="240" w:lineRule="auto"/>
              <w:jc w:val="right"/>
              <w:rPr>
                <w:rFonts w:ascii="Overpass" w:eastAsia="Times New Roman" w:hAnsi="Overpass" w:cs="Calibri"/>
                <w:color w:val="212121"/>
                <w:lang w:eastAsia="it-IT"/>
              </w:rPr>
            </w:pPr>
            <w:r w:rsidRPr="006E0488">
              <w:rPr>
                <w:rFonts w:ascii="Overpass" w:eastAsia="Times New Roman" w:hAnsi="Overpass" w:cs="Calibri"/>
                <w:b/>
                <w:bCs/>
                <w:color w:val="212121"/>
                <w:lang w:eastAsia="it-IT"/>
              </w:rPr>
              <w:t>177</w:t>
            </w:r>
          </w:p>
        </w:tc>
      </w:tr>
      <w:tr w:rsidR="006E0488" w:rsidRPr="006E0488" w14:paraId="4A16357E" w14:textId="77777777" w:rsidTr="006E0488">
        <w:tc>
          <w:tcPr>
            <w:tcW w:w="4253" w:type="dxa"/>
            <w:vAlign w:val="bottom"/>
            <w:hideMark/>
          </w:tcPr>
          <w:p w14:paraId="76EE5B39" w14:textId="77777777" w:rsidR="006E0488" w:rsidRPr="006E0488" w:rsidRDefault="006E0488" w:rsidP="006E0488">
            <w:pPr>
              <w:shd w:val="clear" w:color="auto" w:fill="FFFFFF"/>
              <w:spacing w:after="0" w:line="240" w:lineRule="auto"/>
              <w:jc w:val="both"/>
              <w:rPr>
                <w:rFonts w:ascii="Overpass" w:eastAsia="Times New Roman" w:hAnsi="Overpass" w:cs="Calibri"/>
                <w:color w:val="212121"/>
                <w:lang w:eastAsia="it-IT"/>
              </w:rPr>
            </w:pPr>
            <w:r w:rsidRPr="006E0488">
              <w:rPr>
                <w:rFonts w:ascii="Overpass" w:eastAsia="Times New Roman" w:hAnsi="Overpass" w:cs="Calibri"/>
                <w:b/>
                <w:bCs/>
                <w:color w:val="212121"/>
                <w:lang w:eastAsia="it-IT"/>
              </w:rPr>
              <w:t>Operating expenses:</w:t>
            </w:r>
          </w:p>
        </w:tc>
        <w:tc>
          <w:tcPr>
            <w:tcW w:w="2665" w:type="dxa"/>
            <w:vAlign w:val="bottom"/>
            <w:hideMark/>
          </w:tcPr>
          <w:p w14:paraId="312E9078" w14:textId="77777777" w:rsidR="006E0488" w:rsidRPr="006E0488" w:rsidRDefault="006E0488" w:rsidP="006E0488">
            <w:pPr>
              <w:shd w:val="clear" w:color="auto" w:fill="FFFFFF"/>
              <w:spacing w:after="0" w:line="240" w:lineRule="auto"/>
              <w:jc w:val="right"/>
              <w:rPr>
                <w:rFonts w:ascii="Overpass" w:eastAsia="Times New Roman" w:hAnsi="Overpass" w:cs="Calibri"/>
                <w:color w:val="212121"/>
                <w:lang w:eastAsia="it-IT"/>
              </w:rPr>
            </w:pPr>
            <w:r w:rsidRPr="006E0488">
              <w:rPr>
                <w:rFonts w:ascii="Overpass" w:eastAsia="Times New Roman" w:hAnsi="Overpass" w:cs="Calibri"/>
                <w:color w:val="212121"/>
                <w:lang w:eastAsia="it-IT"/>
              </w:rPr>
              <w:t> </w:t>
            </w:r>
          </w:p>
        </w:tc>
        <w:tc>
          <w:tcPr>
            <w:tcW w:w="0" w:type="auto"/>
            <w:vAlign w:val="bottom"/>
            <w:hideMark/>
          </w:tcPr>
          <w:p w14:paraId="626921AF" w14:textId="77777777" w:rsidR="006E0488" w:rsidRPr="006E0488" w:rsidRDefault="006E0488" w:rsidP="006E0488">
            <w:pPr>
              <w:shd w:val="clear" w:color="auto" w:fill="FFFFFF"/>
              <w:spacing w:after="0" w:line="240" w:lineRule="auto"/>
              <w:jc w:val="right"/>
              <w:rPr>
                <w:rFonts w:ascii="Overpass" w:eastAsia="Times New Roman" w:hAnsi="Overpass" w:cs="Calibri"/>
                <w:color w:val="212121"/>
                <w:lang w:eastAsia="it-IT"/>
              </w:rPr>
            </w:pPr>
            <w:r w:rsidRPr="006E0488">
              <w:rPr>
                <w:rFonts w:ascii="Overpass" w:eastAsia="Times New Roman" w:hAnsi="Overpass" w:cs="Calibri"/>
                <w:color w:val="212121"/>
                <w:lang w:eastAsia="it-IT"/>
              </w:rPr>
              <w:t> </w:t>
            </w:r>
          </w:p>
        </w:tc>
        <w:tc>
          <w:tcPr>
            <w:tcW w:w="2213" w:type="dxa"/>
            <w:vAlign w:val="bottom"/>
            <w:hideMark/>
          </w:tcPr>
          <w:p w14:paraId="763E2B76" w14:textId="77777777" w:rsidR="006E0488" w:rsidRPr="006E0488" w:rsidRDefault="006E0488" w:rsidP="006E0488">
            <w:pPr>
              <w:shd w:val="clear" w:color="auto" w:fill="FFFFFF"/>
              <w:spacing w:after="0" w:line="240" w:lineRule="auto"/>
              <w:jc w:val="right"/>
              <w:rPr>
                <w:rFonts w:ascii="Overpass" w:eastAsia="Times New Roman" w:hAnsi="Overpass" w:cs="Calibri"/>
                <w:color w:val="212121"/>
                <w:lang w:eastAsia="it-IT"/>
              </w:rPr>
            </w:pPr>
            <w:r w:rsidRPr="006E0488">
              <w:rPr>
                <w:rFonts w:ascii="Overpass" w:eastAsia="Times New Roman" w:hAnsi="Overpass" w:cs="Calibri"/>
                <w:color w:val="212121"/>
                <w:lang w:eastAsia="it-IT"/>
              </w:rPr>
              <w:t> </w:t>
            </w:r>
          </w:p>
        </w:tc>
      </w:tr>
      <w:tr w:rsidR="006E0488" w:rsidRPr="006E0488" w14:paraId="3B2E91BA" w14:textId="77777777" w:rsidTr="006E0488">
        <w:tc>
          <w:tcPr>
            <w:tcW w:w="4253" w:type="dxa"/>
            <w:vAlign w:val="bottom"/>
            <w:hideMark/>
          </w:tcPr>
          <w:p w14:paraId="510F04B4" w14:textId="77777777" w:rsidR="006E0488" w:rsidRPr="006E0488" w:rsidRDefault="006E0488" w:rsidP="006E0488">
            <w:pPr>
              <w:shd w:val="clear" w:color="auto" w:fill="FFFFFF"/>
              <w:spacing w:after="0" w:line="240" w:lineRule="auto"/>
              <w:jc w:val="both"/>
              <w:rPr>
                <w:rFonts w:ascii="Overpass" w:eastAsia="Times New Roman" w:hAnsi="Overpass" w:cs="Calibri"/>
                <w:color w:val="212121"/>
                <w:lang w:eastAsia="it-IT"/>
              </w:rPr>
            </w:pPr>
            <w:r w:rsidRPr="006E0488">
              <w:rPr>
                <w:rFonts w:ascii="Overpass" w:eastAsia="Times New Roman" w:hAnsi="Overpass" w:cs="Calibri"/>
                <w:color w:val="212121"/>
                <w:lang w:eastAsia="it-IT"/>
              </w:rPr>
              <w:t>Research and development expenses</w:t>
            </w:r>
          </w:p>
        </w:tc>
        <w:tc>
          <w:tcPr>
            <w:tcW w:w="2665" w:type="dxa"/>
            <w:tcMar>
              <w:top w:w="15" w:type="dxa"/>
              <w:left w:w="15" w:type="dxa"/>
              <w:bottom w:w="15" w:type="dxa"/>
              <w:right w:w="0" w:type="dxa"/>
            </w:tcMar>
            <w:vAlign w:val="bottom"/>
            <w:hideMark/>
          </w:tcPr>
          <w:p w14:paraId="483456BD" w14:textId="77777777" w:rsidR="006E0488" w:rsidRPr="006E0488" w:rsidRDefault="006E0488" w:rsidP="006E0488">
            <w:pPr>
              <w:shd w:val="clear" w:color="auto" w:fill="FFFFFF"/>
              <w:spacing w:after="0" w:line="240" w:lineRule="auto"/>
              <w:jc w:val="right"/>
              <w:rPr>
                <w:rFonts w:ascii="Overpass" w:eastAsia="Times New Roman" w:hAnsi="Overpass" w:cs="Calibri"/>
                <w:color w:val="212121"/>
                <w:lang w:eastAsia="it-IT"/>
              </w:rPr>
            </w:pPr>
            <w:r w:rsidRPr="006E0488">
              <w:rPr>
                <w:rFonts w:ascii="Overpass" w:eastAsia="Times New Roman" w:hAnsi="Overpass" w:cs="Calibri"/>
                <w:color w:val="212121"/>
                <w:lang w:eastAsia="it-IT"/>
              </w:rPr>
              <w:t>(104,692)</w:t>
            </w:r>
          </w:p>
        </w:tc>
        <w:tc>
          <w:tcPr>
            <w:tcW w:w="0" w:type="auto"/>
            <w:vAlign w:val="bottom"/>
            <w:hideMark/>
          </w:tcPr>
          <w:p w14:paraId="1AF07956" w14:textId="77777777" w:rsidR="006E0488" w:rsidRPr="006E0488" w:rsidRDefault="006E0488" w:rsidP="006E0488">
            <w:pPr>
              <w:shd w:val="clear" w:color="auto" w:fill="FFFFFF"/>
              <w:spacing w:after="0" w:line="240" w:lineRule="auto"/>
              <w:jc w:val="right"/>
              <w:rPr>
                <w:rFonts w:ascii="Overpass" w:eastAsia="Times New Roman" w:hAnsi="Overpass" w:cs="Calibri"/>
                <w:color w:val="212121"/>
                <w:lang w:eastAsia="it-IT"/>
              </w:rPr>
            </w:pPr>
            <w:r w:rsidRPr="006E0488">
              <w:rPr>
                <w:rFonts w:ascii="Overpass" w:eastAsia="Times New Roman" w:hAnsi="Overpass" w:cs="Calibri"/>
                <w:color w:val="212121"/>
                <w:lang w:eastAsia="it-IT"/>
              </w:rPr>
              <w:t> </w:t>
            </w:r>
          </w:p>
        </w:tc>
        <w:tc>
          <w:tcPr>
            <w:tcW w:w="2213" w:type="dxa"/>
            <w:tcMar>
              <w:top w:w="15" w:type="dxa"/>
              <w:left w:w="15" w:type="dxa"/>
              <w:bottom w:w="15" w:type="dxa"/>
              <w:right w:w="0" w:type="dxa"/>
            </w:tcMar>
            <w:vAlign w:val="bottom"/>
            <w:hideMark/>
          </w:tcPr>
          <w:p w14:paraId="166BA891" w14:textId="77777777" w:rsidR="006E0488" w:rsidRPr="006E0488" w:rsidRDefault="006E0488" w:rsidP="006E0488">
            <w:pPr>
              <w:shd w:val="clear" w:color="auto" w:fill="FFFFFF"/>
              <w:spacing w:after="0" w:line="240" w:lineRule="auto"/>
              <w:jc w:val="right"/>
              <w:rPr>
                <w:rFonts w:ascii="Overpass" w:eastAsia="Times New Roman" w:hAnsi="Overpass" w:cs="Calibri"/>
                <w:color w:val="212121"/>
                <w:lang w:eastAsia="it-IT"/>
              </w:rPr>
            </w:pPr>
            <w:r w:rsidRPr="006E0488">
              <w:rPr>
                <w:rFonts w:ascii="Overpass" w:eastAsia="Times New Roman" w:hAnsi="Overpass" w:cs="Calibri"/>
                <w:color w:val="212121"/>
                <w:lang w:eastAsia="it-IT"/>
              </w:rPr>
              <w:t>(65,494)</w:t>
            </w:r>
          </w:p>
        </w:tc>
      </w:tr>
      <w:tr w:rsidR="006E0488" w:rsidRPr="006E0488" w14:paraId="0EA628AF" w14:textId="77777777" w:rsidTr="006E0488">
        <w:tc>
          <w:tcPr>
            <w:tcW w:w="4253" w:type="dxa"/>
            <w:vAlign w:val="bottom"/>
            <w:hideMark/>
          </w:tcPr>
          <w:p w14:paraId="04995840" w14:textId="77777777" w:rsidR="006E0488" w:rsidRPr="006E0488" w:rsidRDefault="006E0488" w:rsidP="006E0488">
            <w:pPr>
              <w:shd w:val="clear" w:color="auto" w:fill="FFFFFF"/>
              <w:spacing w:after="0" w:line="240" w:lineRule="auto"/>
              <w:jc w:val="both"/>
              <w:rPr>
                <w:rFonts w:ascii="Overpass" w:eastAsia="Times New Roman" w:hAnsi="Overpass" w:cs="Calibri"/>
                <w:color w:val="212121"/>
                <w:lang w:eastAsia="it-IT"/>
              </w:rPr>
            </w:pPr>
            <w:r w:rsidRPr="006E0488">
              <w:rPr>
                <w:rFonts w:ascii="Overpass" w:eastAsia="Times New Roman" w:hAnsi="Overpass" w:cs="Calibri"/>
                <w:color w:val="212121"/>
                <w:lang w:eastAsia="it-IT"/>
              </w:rPr>
              <w:t>Selling and marketing expenses</w:t>
            </w:r>
          </w:p>
        </w:tc>
        <w:tc>
          <w:tcPr>
            <w:tcW w:w="2665" w:type="dxa"/>
            <w:tcMar>
              <w:top w:w="15" w:type="dxa"/>
              <w:left w:w="15" w:type="dxa"/>
              <w:bottom w:w="15" w:type="dxa"/>
              <w:right w:w="0" w:type="dxa"/>
            </w:tcMar>
            <w:vAlign w:val="bottom"/>
            <w:hideMark/>
          </w:tcPr>
          <w:p w14:paraId="09DB5443" w14:textId="77777777" w:rsidR="006E0488" w:rsidRPr="006E0488" w:rsidRDefault="006E0488" w:rsidP="006E0488">
            <w:pPr>
              <w:shd w:val="clear" w:color="auto" w:fill="FFFFFF"/>
              <w:spacing w:after="0" w:line="240" w:lineRule="auto"/>
              <w:jc w:val="right"/>
              <w:rPr>
                <w:rFonts w:ascii="Overpass" w:eastAsia="Times New Roman" w:hAnsi="Overpass" w:cs="Calibri"/>
                <w:color w:val="212121"/>
                <w:lang w:eastAsia="it-IT"/>
              </w:rPr>
            </w:pPr>
            <w:r w:rsidRPr="006E0488">
              <w:rPr>
                <w:rFonts w:ascii="Overpass" w:eastAsia="Times New Roman" w:hAnsi="Overpass" w:cs="Calibri"/>
                <w:color w:val="212121"/>
                <w:lang w:eastAsia="it-IT"/>
              </w:rPr>
              <w:t>(103,489)</w:t>
            </w:r>
          </w:p>
        </w:tc>
        <w:tc>
          <w:tcPr>
            <w:tcW w:w="0" w:type="auto"/>
            <w:vAlign w:val="bottom"/>
            <w:hideMark/>
          </w:tcPr>
          <w:p w14:paraId="3E3C4CFB" w14:textId="77777777" w:rsidR="006E0488" w:rsidRPr="006E0488" w:rsidRDefault="006E0488" w:rsidP="006E0488">
            <w:pPr>
              <w:shd w:val="clear" w:color="auto" w:fill="FFFFFF"/>
              <w:spacing w:after="0" w:line="240" w:lineRule="auto"/>
              <w:jc w:val="right"/>
              <w:rPr>
                <w:rFonts w:ascii="Overpass" w:eastAsia="Times New Roman" w:hAnsi="Overpass" w:cs="Calibri"/>
                <w:color w:val="212121"/>
                <w:lang w:eastAsia="it-IT"/>
              </w:rPr>
            </w:pPr>
            <w:r w:rsidRPr="006E0488">
              <w:rPr>
                <w:rFonts w:ascii="Overpass" w:eastAsia="Times New Roman" w:hAnsi="Overpass" w:cs="Calibri"/>
                <w:color w:val="212121"/>
                <w:lang w:eastAsia="it-IT"/>
              </w:rPr>
              <w:t> </w:t>
            </w:r>
          </w:p>
        </w:tc>
        <w:tc>
          <w:tcPr>
            <w:tcW w:w="2213" w:type="dxa"/>
            <w:tcMar>
              <w:top w:w="15" w:type="dxa"/>
              <w:left w:w="15" w:type="dxa"/>
              <w:bottom w:w="15" w:type="dxa"/>
              <w:right w:w="0" w:type="dxa"/>
            </w:tcMar>
            <w:vAlign w:val="bottom"/>
            <w:hideMark/>
          </w:tcPr>
          <w:p w14:paraId="2A620D54" w14:textId="77777777" w:rsidR="006E0488" w:rsidRPr="006E0488" w:rsidRDefault="006E0488" w:rsidP="006E0488">
            <w:pPr>
              <w:shd w:val="clear" w:color="auto" w:fill="FFFFFF"/>
              <w:spacing w:after="0" w:line="240" w:lineRule="auto"/>
              <w:jc w:val="right"/>
              <w:rPr>
                <w:rFonts w:ascii="Overpass" w:eastAsia="Times New Roman" w:hAnsi="Overpass" w:cs="Calibri"/>
                <w:color w:val="212121"/>
                <w:lang w:eastAsia="it-IT"/>
              </w:rPr>
            </w:pPr>
            <w:r w:rsidRPr="006E0488">
              <w:rPr>
                <w:rFonts w:ascii="Overpass" w:eastAsia="Times New Roman" w:hAnsi="Overpass" w:cs="Calibri"/>
                <w:color w:val="212121"/>
                <w:lang w:eastAsia="it-IT"/>
              </w:rPr>
              <w:t>(51,776)</w:t>
            </w:r>
          </w:p>
        </w:tc>
      </w:tr>
      <w:tr w:rsidR="006E0488" w:rsidRPr="006E0488" w14:paraId="1ED0B818" w14:textId="77777777" w:rsidTr="006E0488">
        <w:tc>
          <w:tcPr>
            <w:tcW w:w="4253" w:type="dxa"/>
            <w:vAlign w:val="bottom"/>
            <w:hideMark/>
          </w:tcPr>
          <w:p w14:paraId="17737AE6" w14:textId="77777777" w:rsidR="006E0488" w:rsidRPr="006E0488" w:rsidRDefault="006E0488" w:rsidP="006E0488">
            <w:pPr>
              <w:shd w:val="clear" w:color="auto" w:fill="FFFFFF"/>
              <w:spacing w:after="0" w:line="240" w:lineRule="auto"/>
              <w:jc w:val="both"/>
              <w:rPr>
                <w:rFonts w:ascii="Overpass" w:eastAsia="Times New Roman" w:hAnsi="Overpass" w:cs="Calibri"/>
                <w:color w:val="212121"/>
                <w:lang w:eastAsia="it-IT"/>
              </w:rPr>
            </w:pPr>
            <w:r w:rsidRPr="006E0488">
              <w:rPr>
                <w:rFonts w:ascii="Overpass" w:eastAsia="Times New Roman" w:hAnsi="Overpass" w:cs="Calibri"/>
                <w:color w:val="212121"/>
                <w:lang w:eastAsia="it-IT"/>
              </w:rPr>
              <w:t>General and administrative expenses</w:t>
            </w:r>
          </w:p>
        </w:tc>
        <w:tc>
          <w:tcPr>
            <w:tcW w:w="2665" w:type="dxa"/>
            <w:tcMar>
              <w:top w:w="15" w:type="dxa"/>
              <w:left w:w="15" w:type="dxa"/>
              <w:bottom w:w="15" w:type="dxa"/>
              <w:right w:w="0" w:type="dxa"/>
            </w:tcMar>
            <w:vAlign w:val="bottom"/>
            <w:hideMark/>
          </w:tcPr>
          <w:p w14:paraId="443E7B4F" w14:textId="77777777" w:rsidR="006E0488" w:rsidRPr="006E0488" w:rsidRDefault="006E0488" w:rsidP="006E0488">
            <w:pPr>
              <w:shd w:val="clear" w:color="auto" w:fill="FFFFFF"/>
              <w:spacing w:after="0" w:line="240" w:lineRule="auto"/>
              <w:jc w:val="right"/>
              <w:rPr>
                <w:rFonts w:ascii="Overpass" w:eastAsia="Times New Roman" w:hAnsi="Overpass" w:cs="Calibri"/>
                <w:color w:val="212121"/>
                <w:lang w:eastAsia="it-IT"/>
              </w:rPr>
            </w:pPr>
            <w:r w:rsidRPr="006E0488">
              <w:rPr>
                <w:rFonts w:ascii="Overpass" w:eastAsia="Times New Roman" w:hAnsi="Overpass" w:cs="Calibri"/>
                <w:color w:val="212121"/>
                <w:lang w:eastAsia="it-IT"/>
              </w:rPr>
              <w:t>(56,970)</w:t>
            </w:r>
          </w:p>
        </w:tc>
        <w:tc>
          <w:tcPr>
            <w:tcW w:w="0" w:type="auto"/>
            <w:vAlign w:val="bottom"/>
            <w:hideMark/>
          </w:tcPr>
          <w:p w14:paraId="2C0D508E" w14:textId="77777777" w:rsidR="006E0488" w:rsidRPr="006E0488" w:rsidRDefault="006E0488" w:rsidP="006E0488">
            <w:pPr>
              <w:shd w:val="clear" w:color="auto" w:fill="FFFFFF"/>
              <w:spacing w:after="0" w:line="240" w:lineRule="auto"/>
              <w:jc w:val="right"/>
              <w:rPr>
                <w:rFonts w:ascii="Overpass" w:eastAsia="Times New Roman" w:hAnsi="Overpass" w:cs="Calibri"/>
                <w:color w:val="212121"/>
                <w:lang w:eastAsia="it-IT"/>
              </w:rPr>
            </w:pPr>
            <w:r w:rsidRPr="006E0488">
              <w:rPr>
                <w:rFonts w:ascii="Overpass" w:eastAsia="Times New Roman" w:hAnsi="Overpass" w:cs="Calibri"/>
                <w:color w:val="212121"/>
                <w:lang w:eastAsia="it-IT"/>
              </w:rPr>
              <w:t> </w:t>
            </w:r>
          </w:p>
        </w:tc>
        <w:tc>
          <w:tcPr>
            <w:tcW w:w="2213" w:type="dxa"/>
            <w:tcMar>
              <w:top w:w="15" w:type="dxa"/>
              <w:left w:w="15" w:type="dxa"/>
              <w:bottom w:w="15" w:type="dxa"/>
              <w:right w:w="0" w:type="dxa"/>
            </w:tcMar>
            <w:vAlign w:val="bottom"/>
            <w:hideMark/>
          </w:tcPr>
          <w:p w14:paraId="15D81CAC" w14:textId="77777777" w:rsidR="006E0488" w:rsidRPr="006E0488" w:rsidRDefault="006E0488" w:rsidP="006E0488">
            <w:pPr>
              <w:shd w:val="clear" w:color="auto" w:fill="FFFFFF"/>
              <w:spacing w:after="0" w:line="240" w:lineRule="auto"/>
              <w:jc w:val="right"/>
              <w:rPr>
                <w:rFonts w:ascii="Overpass" w:eastAsia="Times New Roman" w:hAnsi="Overpass" w:cs="Calibri"/>
                <w:color w:val="212121"/>
                <w:lang w:eastAsia="it-IT"/>
              </w:rPr>
            </w:pPr>
            <w:r w:rsidRPr="006E0488">
              <w:rPr>
                <w:rFonts w:ascii="Overpass" w:eastAsia="Times New Roman" w:hAnsi="Overpass" w:cs="Calibri"/>
                <w:color w:val="212121"/>
                <w:lang w:eastAsia="it-IT"/>
              </w:rPr>
              <w:t>(45,284)</w:t>
            </w:r>
          </w:p>
        </w:tc>
      </w:tr>
      <w:tr w:rsidR="006E0488" w:rsidRPr="006E0488" w14:paraId="5245811B" w14:textId="77777777" w:rsidTr="006E0488">
        <w:tc>
          <w:tcPr>
            <w:tcW w:w="4253" w:type="dxa"/>
            <w:vAlign w:val="bottom"/>
            <w:hideMark/>
          </w:tcPr>
          <w:p w14:paraId="483340BE" w14:textId="77777777" w:rsidR="006E0488" w:rsidRPr="006E0488" w:rsidRDefault="006E0488" w:rsidP="006E0488">
            <w:pPr>
              <w:shd w:val="clear" w:color="auto" w:fill="FFFFFF"/>
              <w:spacing w:after="0" w:line="240" w:lineRule="auto"/>
              <w:jc w:val="both"/>
              <w:rPr>
                <w:rFonts w:ascii="Overpass" w:eastAsia="Times New Roman" w:hAnsi="Overpass" w:cs="Calibri"/>
                <w:color w:val="212121"/>
                <w:lang w:eastAsia="it-IT"/>
              </w:rPr>
            </w:pPr>
            <w:r w:rsidRPr="006E0488">
              <w:rPr>
                <w:rFonts w:ascii="Overpass" w:eastAsia="Times New Roman" w:hAnsi="Overpass" w:cs="Calibri"/>
                <w:color w:val="212121"/>
                <w:lang w:eastAsia="it-IT"/>
              </w:rPr>
              <w:t>Government grants</w:t>
            </w:r>
          </w:p>
        </w:tc>
        <w:tc>
          <w:tcPr>
            <w:tcW w:w="2665" w:type="dxa"/>
            <w:tcBorders>
              <w:bottom w:val="single" w:sz="8" w:space="0" w:color="000000"/>
            </w:tcBorders>
            <w:tcMar>
              <w:top w:w="15" w:type="dxa"/>
              <w:left w:w="15" w:type="dxa"/>
              <w:bottom w:w="15" w:type="dxa"/>
              <w:right w:w="0" w:type="dxa"/>
            </w:tcMar>
            <w:vAlign w:val="bottom"/>
            <w:hideMark/>
          </w:tcPr>
          <w:p w14:paraId="7147928F" w14:textId="77777777" w:rsidR="006E0488" w:rsidRPr="006E0488" w:rsidRDefault="006E0488" w:rsidP="006E0488">
            <w:pPr>
              <w:shd w:val="clear" w:color="auto" w:fill="FFFFFF"/>
              <w:spacing w:after="0" w:line="240" w:lineRule="auto"/>
              <w:jc w:val="right"/>
              <w:rPr>
                <w:rFonts w:ascii="Overpass" w:eastAsia="Times New Roman" w:hAnsi="Overpass" w:cs="Calibri"/>
                <w:color w:val="212121"/>
                <w:lang w:eastAsia="it-IT"/>
              </w:rPr>
            </w:pPr>
            <w:r w:rsidRPr="006E0488">
              <w:rPr>
                <w:rFonts w:ascii="Overpass" w:eastAsia="Times New Roman" w:hAnsi="Overpass" w:cs="Calibri"/>
                <w:color w:val="212121"/>
                <w:lang w:eastAsia="it-IT"/>
              </w:rPr>
              <w:t>1,519</w:t>
            </w:r>
          </w:p>
        </w:tc>
        <w:tc>
          <w:tcPr>
            <w:tcW w:w="0" w:type="auto"/>
            <w:vAlign w:val="bottom"/>
            <w:hideMark/>
          </w:tcPr>
          <w:p w14:paraId="61CE7A79" w14:textId="77777777" w:rsidR="006E0488" w:rsidRPr="006E0488" w:rsidRDefault="006E0488" w:rsidP="006E0488">
            <w:pPr>
              <w:shd w:val="clear" w:color="auto" w:fill="FFFFFF"/>
              <w:spacing w:after="0" w:line="240" w:lineRule="auto"/>
              <w:jc w:val="right"/>
              <w:rPr>
                <w:rFonts w:ascii="Overpass" w:eastAsia="Times New Roman" w:hAnsi="Overpass" w:cs="Calibri"/>
                <w:color w:val="212121"/>
                <w:lang w:eastAsia="it-IT"/>
              </w:rPr>
            </w:pPr>
            <w:r w:rsidRPr="006E0488">
              <w:rPr>
                <w:rFonts w:ascii="Overpass" w:eastAsia="Times New Roman" w:hAnsi="Overpass" w:cs="Calibri"/>
                <w:color w:val="212121"/>
                <w:lang w:eastAsia="it-IT"/>
              </w:rPr>
              <w:t> </w:t>
            </w:r>
          </w:p>
        </w:tc>
        <w:tc>
          <w:tcPr>
            <w:tcW w:w="2213" w:type="dxa"/>
            <w:tcBorders>
              <w:bottom w:val="single" w:sz="8" w:space="0" w:color="000000"/>
            </w:tcBorders>
            <w:tcMar>
              <w:top w:w="15" w:type="dxa"/>
              <w:left w:w="15" w:type="dxa"/>
              <w:bottom w:w="15" w:type="dxa"/>
              <w:right w:w="0" w:type="dxa"/>
            </w:tcMar>
            <w:vAlign w:val="bottom"/>
            <w:hideMark/>
          </w:tcPr>
          <w:p w14:paraId="493D5DD5" w14:textId="77777777" w:rsidR="006E0488" w:rsidRPr="006E0488" w:rsidRDefault="006E0488" w:rsidP="006E0488">
            <w:pPr>
              <w:shd w:val="clear" w:color="auto" w:fill="FFFFFF"/>
              <w:spacing w:after="0" w:line="240" w:lineRule="auto"/>
              <w:jc w:val="right"/>
              <w:rPr>
                <w:rFonts w:ascii="Overpass" w:eastAsia="Times New Roman" w:hAnsi="Overpass" w:cs="Calibri"/>
                <w:color w:val="212121"/>
                <w:lang w:eastAsia="it-IT"/>
              </w:rPr>
            </w:pPr>
            <w:r w:rsidRPr="006E0488">
              <w:rPr>
                <w:rFonts w:ascii="Overpass" w:eastAsia="Times New Roman" w:hAnsi="Overpass" w:cs="Calibri"/>
                <w:color w:val="212121"/>
                <w:lang w:eastAsia="it-IT"/>
              </w:rPr>
              <w:t>605</w:t>
            </w:r>
          </w:p>
        </w:tc>
      </w:tr>
      <w:tr w:rsidR="006E0488" w:rsidRPr="006E0488" w14:paraId="005A023A" w14:textId="77777777" w:rsidTr="006E0488">
        <w:tc>
          <w:tcPr>
            <w:tcW w:w="4253" w:type="dxa"/>
            <w:vAlign w:val="bottom"/>
            <w:hideMark/>
          </w:tcPr>
          <w:p w14:paraId="4F76C2A6" w14:textId="77777777" w:rsidR="006E0488" w:rsidRPr="006E0488" w:rsidRDefault="006E0488" w:rsidP="006E0488">
            <w:pPr>
              <w:shd w:val="clear" w:color="auto" w:fill="FFFFFF"/>
              <w:spacing w:after="0" w:line="240" w:lineRule="auto"/>
              <w:jc w:val="both"/>
              <w:rPr>
                <w:rFonts w:ascii="Overpass" w:eastAsia="Times New Roman" w:hAnsi="Overpass" w:cs="Calibri"/>
                <w:color w:val="212121"/>
                <w:lang w:eastAsia="it-IT"/>
              </w:rPr>
            </w:pPr>
            <w:r w:rsidRPr="006E0488">
              <w:rPr>
                <w:rFonts w:ascii="Overpass" w:eastAsia="Times New Roman" w:hAnsi="Overpass" w:cs="Calibri"/>
                <w:b/>
                <w:bCs/>
                <w:color w:val="212121"/>
                <w:lang w:eastAsia="it-IT"/>
              </w:rPr>
              <w:t>Total operating expenses</w:t>
            </w:r>
          </w:p>
        </w:tc>
        <w:tc>
          <w:tcPr>
            <w:tcW w:w="2665" w:type="dxa"/>
            <w:tcBorders>
              <w:top w:val="single" w:sz="8" w:space="0" w:color="000000"/>
              <w:bottom w:val="single" w:sz="8" w:space="0" w:color="000000"/>
            </w:tcBorders>
            <w:tcMar>
              <w:top w:w="15" w:type="dxa"/>
              <w:left w:w="15" w:type="dxa"/>
              <w:bottom w:w="15" w:type="dxa"/>
              <w:right w:w="0" w:type="dxa"/>
            </w:tcMar>
            <w:vAlign w:val="bottom"/>
            <w:hideMark/>
          </w:tcPr>
          <w:p w14:paraId="1A162BFB" w14:textId="77777777" w:rsidR="006E0488" w:rsidRPr="006E0488" w:rsidRDefault="006E0488" w:rsidP="006E0488">
            <w:pPr>
              <w:shd w:val="clear" w:color="auto" w:fill="FFFFFF"/>
              <w:spacing w:after="0" w:line="240" w:lineRule="auto"/>
              <w:jc w:val="right"/>
              <w:rPr>
                <w:rFonts w:ascii="Overpass" w:eastAsia="Times New Roman" w:hAnsi="Overpass" w:cs="Calibri"/>
                <w:color w:val="212121"/>
                <w:lang w:eastAsia="it-IT"/>
              </w:rPr>
            </w:pPr>
            <w:r w:rsidRPr="006E0488">
              <w:rPr>
                <w:rFonts w:ascii="Overpass" w:eastAsia="Times New Roman" w:hAnsi="Overpass" w:cs="Calibri"/>
                <w:b/>
                <w:bCs/>
                <w:color w:val="212121"/>
                <w:lang w:eastAsia="it-IT"/>
              </w:rPr>
              <w:t>(263,632)</w:t>
            </w:r>
          </w:p>
        </w:tc>
        <w:tc>
          <w:tcPr>
            <w:tcW w:w="0" w:type="auto"/>
            <w:vAlign w:val="bottom"/>
            <w:hideMark/>
          </w:tcPr>
          <w:p w14:paraId="5FA1EF35" w14:textId="77777777" w:rsidR="006E0488" w:rsidRPr="006E0488" w:rsidRDefault="006E0488" w:rsidP="006E0488">
            <w:pPr>
              <w:shd w:val="clear" w:color="auto" w:fill="FFFFFF"/>
              <w:spacing w:after="0" w:line="240" w:lineRule="auto"/>
              <w:jc w:val="right"/>
              <w:rPr>
                <w:rFonts w:ascii="Overpass" w:eastAsia="Times New Roman" w:hAnsi="Overpass" w:cs="Calibri"/>
                <w:color w:val="212121"/>
                <w:lang w:eastAsia="it-IT"/>
              </w:rPr>
            </w:pPr>
            <w:r w:rsidRPr="006E0488">
              <w:rPr>
                <w:rFonts w:ascii="Overpass" w:eastAsia="Times New Roman" w:hAnsi="Overpass" w:cs="Calibri"/>
                <w:color w:val="212121"/>
                <w:lang w:eastAsia="it-IT"/>
              </w:rPr>
              <w:t> </w:t>
            </w:r>
          </w:p>
        </w:tc>
        <w:tc>
          <w:tcPr>
            <w:tcW w:w="2213" w:type="dxa"/>
            <w:tcBorders>
              <w:top w:val="single" w:sz="8" w:space="0" w:color="000000"/>
              <w:bottom w:val="single" w:sz="8" w:space="0" w:color="000000"/>
            </w:tcBorders>
            <w:tcMar>
              <w:top w:w="15" w:type="dxa"/>
              <w:left w:w="15" w:type="dxa"/>
              <w:bottom w:w="15" w:type="dxa"/>
              <w:right w:w="0" w:type="dxa"/>
            </w:tcMar>
            <w:vAlign w:val="bottom"/>
            <w:hideMark/>
          </w:tcPr>
          <w:p w14:paraId="6262B8D7" w14:textId="77777777" w:rsidR="006E0488" w:rsidRPr="006E0488" w:rsidRDefault="006E0488" w:rsidP="006E0488">
            <w:pPr>
              <w:shd w:val="clear" w:color="auto" w:fill="FFFFFF"/>
              <w:spacing w:after="0" w:line="240" w:lineRule="auto"/>
              <w:jc w:val="right"/>
              <w:rPr>
                <w:rFonts w:ascii="Overpass" w:eastAsia="Times New Roman" w:hAnsi="Overpass" w:cs="Calibri"/>
                <w:color w:val="212121"/>
                <w:lang w:eastAsia="it-IT"/>
              </w:rPr>
            </w:pPr>
            <w:r w:rsidRPr="006E0488">
              <w:rPr>
                <w:rFonts w:ascii="Overpass" w:eastAsia="Times New Roman" w:hAnsi="Overpass" w:cs="Calibri"/>
                <w:b/>
                <w:bCs/>
                <w:color w:val="212121"/>
                <w:lang w:eastAsia="it-IT"/>
              </w:rPr>
              <w:t>(161,949)</w:t>
            </w:r>
          </w:p>
        </w:tc>
      </w:tr>
      <w:tr w:rsidR="006E0488" w:rsidRPr="006E0488" w14:paraId="678E783B" w14:textId="77777777" w:rsidTr="006E0488">
        <w:tc>
          <w:tcPr>
            <w:tcW w:w="4253" w:type="dxa"/>
            <w:vAlign w:val="bottom"/>
            <w:hideMark/>
          </w:tcPr>
          <w:p w14:paraId="181410B0" w14:textId="77777777" w:rsidR="006E0488" w:rsidRPr="006E0488" w:rsidRDefault="006E0488" w:rsidP="006E0488">
            <w:pPr>
              <w:shd w:val="clear" w:color="auto" w:fill="FFFFFF"/>
              <w:spacing w:after="0" w:line="240" w:lineRule="auto"/>
              <w:jc w:val="both"/>
              <w:rPr>
                <w:rFonts w:ascii="Overpass" w:eastAsia="Times New Roman" w:hAnsi="Overpass" w:cs="Calibri"/>
                <w:color w:val="212121"/>
                <w:lang w:eastAsia="it-IT"/>
              </w:rPr>
            </w:pPr>
            <w:r w:rsidRPr="006E0488">
              <w:rPr>
                <w:rFonts w:ascii="Overpass" w:eastAsia="Times New Roman" w:hAnsi="Overpass" w:cs="Calibri"/>
                <w:b/>
                <w:bCs/>
                <w:color w:val="212121"/>
                <w:lang w:eastAsia="it-IT"/>
              </w:rPr>
              <w:t>Operating loss</w:t>
            </w:r>
          </w:p>
        </w:tc>
        <w:tc>
          <w:tcPr>
            <w:tcW w:w="2665" w:type="dxa"/>
            <w:tcBorders>
              <w:top w:val="single" w:sz="8" w:space="0" w:color="000000"/>
            </w:tcBorders>
            <w:tcMar>
              <w:top w:w="15" w:type="dxa"/>
              <w:left w:w="15" w:type="dxa"/>
              <w:bottom w:w="15" w:type="dxa"/>
              <w:right w:w="0" w:type="dxa"/>
            </w:tcMar>
            <w:vAlign w:val="bottom"/>
            <w:hideMark/>
          </w:tcPr>
          <w:p w14:paraId="54D0EA75" w14:textId="77777777" w:rsidR="006E0488" w:rsidRPr="006E0488" w:rsidRDefault="006E0488" w:rsidP="006E0488">
            <w:pPr>
              <w:shd w:val="clear" w:color="auto" w:fill="FFFFFF"/>
              <w:spacing w:after="0" w:line="240" w:lineRule="auto"/>
              <w:jc w:val="right"/>
              <w:rPr>
                <w:rFonts w:ascii="Overpass" w:eastAsia="Times New Roman" w:hAnsi="Overpass" w:cs="Calibri"/>
                <w:color w:val="212121"/>
                <w:lang w:eastAsia="it-IT"/>
              </w:rPr>
            </w:pPr>
            <w:r w:rsidRPr="006E0488">
              <w:rPr>
                <w:rFonts w:ascii="Overpass" w:eastAsia="Times New Roman" w:hAnsi="Overpass" w:cs="Calibri"/>
                <w:b/>
                <w:bCs/>
                <w:color w:val="212121"/>
                <w:lang w:eastAsia="it-IT"/>
              </w:rPr>
              <w:t>(233,318)</w:t>
            </w:r>
          </w:p>
        </w:tc>
        <w:tc>
          <w:tcPr>
            <w:tcW w:w="0" w:type="auto"/>
            <w:vAlign w:val="bottom"/>
            <w:hideMark/>
          </w:tcPr>
          <w:p w14:paraId="6DBF6D63" w14:textId="77777777" w:rsidR="006E0488" w:rsidRPr="006E0488" w:rsidRDefault="006E0488" w:rsidP="006E0488">
            <w:pPr>
              <w:shd w:val="clear" w:color="auto" w:fill="FFFFFF"/>
              <w:spacing w:after="0" w:line="240" w:lineRule="auto"/>
              <w:jc w:val="right"/>
              <w:rPr>
                <w:rFonts w:ascii="Overpass" w:eastAsia="Times New Roman" w:hAnsi="Overpass" w:cs="Calibri"/>
                <w:color w:val="212121"/>
                <w:lang w:eastAsia="it-IT"/>
              </w:rPr>
            </w:pPr>
            <w:r w:rsidRPr="006E0488">
              <w:rPr>
                <w:rFonts w:ascii="Overpass" w:eastAsia="Times New Roman" w:hAnsi="Overpass" w:cs="Calibri"/>
                <w:color w:val="212121"/>
                <w:lang w:eastAsia="it-IT"/>
              </w:rPr>
              <w:t> </w:t>
            </w:r>
          </w:p>
        </w:tc>
        <w:tc>
          <w:tcPr>
            <w:tcW w:w="2213" w:type="dxa"/>
            <w:tcBorders>
              <w:top w:val="single" w:sz="8" w:space="0" w:color="000000"/>
            </w:tcBorders>
            <w:tcMar>
              <w:top w:w="15" w:type="dxa"/>
              <w:left w:w="15" w:type="dxa"/>
              <w:bottom w:w="15" w:type="dxa"/>
              <w:right w:w="0" w:type="dxa"/>
            </w:tcMar>
            <w:vAlign w:val="bottom"/>
            <w:hideMark/>
          </w:tcPr>
          <w:p w14:paraId="63D46E0B" w14:textId="77777777" w:rsidR="006E0488" w:rsidRPr="006E0488" w:rsidRDefault="006E0488" w:rsidP="006E0488">
            <w:pPr>
              <w:shd w:val="clear" w:color="auto" w:fill="FFFFFF"/>
              <w:spacing w:after="0" w:line="240" w:lineRule="auto"/>
              <w:jc w:val="right"/>
              <w:rPr>
                <w:rFonts w:ascii="Overpass" w:eastAsia="Times New Roman" w:hAnsi="Overpass" w:cs="Calibri"/>
                <w:color w:val="212121"/>
                <w:lang w:eastAsia="it-IT"/>
              </w:rPr>
            </w:pPr>
            <w:r w:rsidRPr="006E0488">
              <w:rPr>
                <w:rFonts w:ascii="Overpass" w:eastAsia="Times New Roman" w:hAnsi="Overpass" w:cs="Calibri"/>
                <w:b/>
                <w:bCs/>
                <w:color w:val="212121"/>
                <w:lang w:eastAsia="it-IT"/>
              </w:rPr>
              <w:t>(161,772)</w:t>
            </w:r>
          </w:p>
        </w:tc>
      </w:tr>
      <w:tr w:rsidR="006E0488" w:rsidRPr="006E0488" w14:paraId="55049121" w14:textId="77777777" w:rsidTr="006E0488">
        <w:tc>
          <w:tcPr>
            <w:tcW w:w="4253" w:type="dxa"/>
            <w:vAlign w:val="bottom"/>
            <w:hideMark/>
          </w:tcPr>
          <w:p w14:paraId="5FA76046" w14:textId="77777777" w:rsidR="006E0488" w:rsidRPr="006E0488" w:rsidRDefault="006E0488" w:rsidP="006E0488">
            <w:pPr>
              <w:shd w:val="clear" w:color="auto" w:fill="FFFFFF"/>
              <w:spacing w:after="0" w:line="240" w:lineRule="auto"/>
              <w:jc w:val="both"/>
              <w:rPr>
                <w:rFonts w:ascii="Overpass" w:eastAsia="Times New Roman" w:hAnsi="Overpass" w:cs="Calibri"/>
                <w:color w:val="212121"/>
                <w:lang w:eastAsia="it-IT"/>
              </w:rPr>
            </w:pPr>
            <w:r w:rsidRPr="006E0488">
              <w:rPr>
                <w:rFonts w:ascii="Overpass" w:eastAsia="Times New Roman" w:hAnsi="Overpass" w:cs="Calibri"/>
                <w:color w:val="212121"/>
                <w:lang w:eastAsia="it-IT"/>
              </w:rPr>
              <w:t>Interest expenses</w:t>
            </w:r>
          </w:p>
        </w:tc>
        <w:tc>
          <w:tcPr>
            <w:tcW w:w="2665" w:type="dxa"/>
            <w:tcMar>
              <w:top w:w="15" w:type="dxa"/>
              <w:left w:w="15" w:type="dxa"/>
              <w:bottom w:w="15" w:type="dxa"/>
              <w:right w:w="0" w:type="dxa"/>
            </w:tcMar>
            <w:vAlign w:val="bottom"/>
            <w:hideMark/>
          </w:tcPr>
          <w:p w14:paraId="33254C66" w14:textId="77777777" w:rsidR="006E0488" w:rsidRPr="006E0488" w:rsidRDefault="006E0488" w:rsidP="006E0488">
            <w:pPr>
              <w:shd w:val="clear" w:color="auto" w:fill="FFFFFF"/>
              <w:spacing w:after="0" w:line="240" w:lineRule="auto"/>
              <w:jc w:val="right"/>
              <w:rPr>
                <w:rFonts w:ascii="Overpass" w:eastAsia="Times New Roman" w:hAnsi="Overpass" w:cs="Calibri"/>
                <w:color w:val="212121"/>
                <w:lang w:eastAsia="it-IT"/>
              </w:rPr>
            </w:pPr>
            <w:r w:rsidRPr="006E0488">
              <w:rPr>
                <w:rFonts w:ascii="Overpass" w:eastAsia="Times New Roman" w:hAnsi="Overpass" w:cs="Calibri"/>
                <w:color w:val="212121"/>
                <w:lang w:eastAsia="it-IT"/>
              </w:rPr>
              <w:t>(3,947)</w:t>
            </w:r>
          </w:p>
        </w:tc>
        <w:tc>
          <w:tcPr>
            <w:tcW w:w="0" w:type="auto"/>
            <w:vAlign w:val="bottom"/>
            <w:hideMark/>
          </w:tcPr>
          <w:p w14:paraId="38F0BF45" w14:textId="77777777" w:rsidR="006E0488" w:rsidRPr="006E0488" w:rsidRDefault="006E0488" w:rsidP="006E0488">
            <w:pPr>
              <w:shd w:val="clear" w:color="auto" w:fill="FFFFFF"/>
              <w:spacing w:after="0" w:line="240" w:lineRule="auto"/>
              <w:jc w:val="right"/>
              <w:rPr>
                <w:rFonts w:ascii="Overpass" w:eastAsia="Times New Roman" w:hAnsi="Overpass" w:cs="Calibri"/>
                <w:color w:val="212121"/>
                <w:lang w:eastAsia="it-IT"/>
              </w:rPr>
            </w:pPr>
            <w:r w:rsidRPr="006E0488">
              <w:rPr>
                <w:rFonts w:ascii="Overpass" w:eastAsia="Times New Roman" w:hAnsi="Overpass" w:cs="Calibri"/>
                <w:color w:val="212121"/>
                <w:lang w:eastAsia="it-IT"/>
              </w:rPr>
              <w:t> </w:t>
            </w:r>
          </w:p>
        </w:tc>
        <w:tc>
          <w:tcPr>
            <w:tcW w:w="2213" w:type="dxa"/>
            <w:tcMar>
              <w:top w:w="15" w:type="dxa"/>
              <w:left w:w="15" w:type="dxa"/>
              <w:bottom w:w="15" w:type="dxa"/>
              <w:right w:w="0" w:type="dxa"/>
            </w:tcMar>
            <w:vAlign w:val="bottom"/>
            <w:hideMark/>
          </w:tcPr>
          <w:p w14:paraId="06E68838" w14:textId="77777777" w:rsidR="006E0488" w:rsidRPr="006E0488" w:rsidRDefault="006E0488" w:rsidP="006E0488">
            <w:pPr>
              <w:shd w:val="clear" w:color="auto" w:fill="FFFFFF"/>
              <w:spacing w:after="0" w:line="240" w:lineRule="auto"/>
              <w:jc w:val="right"/>
              <w:rPr>
                <w:rFonts w:ascii="Overpass" w:eastAsia="Times New Roman" w:hAnsi="Overpass" w:cs="Calibri"/>
                <w:color w:val="212121"/>
                <w:lang w:eastAsia="it-IT"/>
              </w:rPr>
            </w:pPr>
            <w:r w:rsidRPr="006E0488">
              <w:rPr>
                <w:rFonts w:ascii="Overpass" w:eastAsia="Times New Roman" w:hAnsi="Overpass" w:cs="Calibri"/>
                <w:color w:val="212121"/>
                <w:lang w:eastAsia="it-IT"/>
              </w:rPr>
              <w:t>(434)</w:t>
            </w:r>
          </w:p>
        </w:tc>
      </w:tr>
      <w:tr w:rsidR="006E0488" w:rsidRPr="006E0488" w14:paraId="6766E1CE" w14:textId="77777777" w:rsidTr="006E0488">
        <w:tc>
          <w:tcPr>
            <w:tcW w:w="4253" w:type="dxa"/>
            <w:vAlign w:val="bottom"/>
            <w:hideMark/>
          </w:tcPr>
          <w:p w14:paraId="2B406F17" w14:textId="77777777" w:rsidR="006E0488" w:rsidRPr="006E0488" w:rsidRDefault="006E0488" w:rsidP="006E0488">
            <w:pPr>
              <w:shd w:val="clear" w:color="auto" w:fill="FFFFFF"/>
              <w:spacing w:after="0" w:line="240" w:lineRule="auto"/>
              <w:jc w:val="both"/>
              <w:rPr>
                <w:rFonts w:ascii="Overpass" w:eastAsia="Times New Roman" w:hAnsi="Overpass" w:cs="Calibri"/>
                <w:color w:val="212121"/>
                <w:lang w:eastAsia="it-IT"/>
              </w:rPr>
            </w:pPr>
            <w:r w:rsidRPr="006E0488">
              <w:rPr>
                <w:rFonts w:ascii="Overpass" w:eastAsia="Times New Roman" w:hAnsi="Overpass" w:cs="Calibri"/>
                <w:color w:val="212121"/>
                <w:lang w:eastAsia="it-IT"/>
              </w:rPr>
              <w:t>Interest income</w:t>
            </w:r>
          </w:p>
        </w:tc>
        <w:tc>
          <w:tcPr>
            <w:tcW w:w="2665" w:type="dxa"/>
            <w:tcMar>
              <w:top w:w="15" w:type="dxa"/>
              <w:left w:w="15" w:type="dxa"/>
              <w:bottom w:w="15" w:type="dxa"/>
              <w:right w:w="0" w:type="dxa"/>
            </w:tcMar>
            <w:vAlign w:val="bottom"/>
            <w:hideMark/>
          </w:tcPr>
          <w:p w14:paraId="61F27F80" w14:textId="77777777" w:rsidR="006E0488" w:rsidRPr="006E0488" w:rsidRDefault="006E0488" w:rsidP="006E0488">
            <w:pPr>
              <w:shd w:val="clear" w:color="auto" w:fill="FFFFFF"/>
              <w:spacing w:after="0" w:line="240" w:lineRule="auto"/>
              <w:jc w:val="right"/>
              <w:rPr>
                <w:rFonts w:ascii="Overpass" w:eastAsia="Times New Roman" w:hAnsi="Overpass" w:cs="Calibri"/>
                <w:color w:val="212121"/>
                <w:lang w:eastAsia="it-IT"/>
              </w:rPr>
            </w:pPr>
            <w:r w:rsidRPr="006E0488">
              <w:rPr>
                <w:rFonts w:ascii="Overpass" w:eastAsia="Times New Roman" w:hAnsi="Overpass" w:cs="Calibri"/>
                <w:color w:val="212121"/>
                <w:lang w:eastAsia="it-IT"/>
              </w:rPr>
              <w:t>1,665</w:t>
            </w:r>
          </w:p>
        </w:tc>
        <w:tc>
          <w:tcPr>
            <w:tcW w:w="0" w:type="auto"/>
            <w:vAlign w:val="bottom"/>
            <w:hideMark/>
          </w:tcPr>
          <w:p w14:paraId="2F12298B" w14:textId="77777777" w:rsidR="006E0488" w:rsidRPr="006E0488" w:rsidRDefault="006E0488" w:rsidP="006E0488">
            <w:pPr>
              <w:shd w:val="clear" w:color="auto" w:fill="FFFFFF"/>
              <w:spacing w:after="0" w:line="240" w:lineRule="auto"/>
              <w:jc w:val="right"/>
              <w:rPr>
                <w:rFonts w:ascii="Overpass" w:eastAsia="Times New Roman" w:hAnsi="Overpass" w:cs="Calibri"/>
                <w:color w:val="212121"/>
                <w:lang w:eastAsia="it-IT"/>
              </w:rPr>
            </w:pPr>
            <w:r w:rsidRPr="006E0488">
              <w:rPr>
                <w:rFonts w:ascii="Overpass" w:eastAsia="Times New Roman" w:hAnsi="Overpass" w:cs="Calibri"/>
                <w:color w:val="212121"/>
                <w:lang w:eastAsia="it-IT"/>
              </w:rPr>
              <w:t> </w:t>
            </w:r>
          </w:p>
        </w:tc>
        <w:tc>
          <w:tcPr>
            <w:tcW w:w="2213" w:type="dxa"/>
            <w:tcMar>
              <w:top w:w="15" w:type="dxa"/>
              <w:left w:w="15" w:type="dxa"/>
              <w:bottom w:w="15" w:type="dxa"/>
              <w:right w:w="0" w:type="dxa"/>
            </w:tcMar>
            <w:vAlign w:val="bottom"/>
            <w:hideMark/>
          </w:tcPr>
          <w:p w14:paraId="66D07D61" w14:textId="77777777" w:rsidR="006E0488" w:rsidRPr="006E0488" w:rsidRDefault="006E0488" w:rsidP="006E0488">
            <w:pPr>
              <w:shd w:val="clear" w:color="auto" w:fill="FFFFFF"/>
              <w:spacing w:after="0" w:line="240" w:lineRule="auto"/>
              <w:jc w:val="right"/>
              <w:rPr>
                <w:rFonts w:ascii="Overpass" w:eastAsia="Times New Roman" w:hAnsi="Overpass" w:cs="Calibri"/>
                <w:color w:val="212121"/>
                <w:lang w:eastAsia="it-IT"/>
              </w:rPr>
            </w:pPr>
            <w:r w:rsidRPr="006E0488">
              <w:rPr>
                <w:rFonts w:ascii="Overpass" w:eastAsia="Times New Roman" w:hAnsi="Overpass" w:cs="Calibri"/>
                <w:color w:val="212121"/>
                <w:lang w:eastAsia="it-IT"/>
              </w:rPr>
              <w:t>2,769</w:t>
            </w:r>
          </w:p>
        </w:tc>
      </w:tr>
      <w:tr w:rsidR="006E0488" w:rsidRPr="006E0488" w14:paraId="511EA826" w14:textId="77777777" w:rsidTr="006E0488">
        <w:tc>
          <w:tcPr>
            <w:tcW w:w="4253" w:type="dxa"/>
            <w:vAlign w:val="bottom"/>
            <w:hideMark/>
          </w:tcPr>
          <w:p w14:paraId="70F1876E" w14:textId="77777777" w:rsidR="006E0488" w:rsidRPr="006E0488" w:rsidRDefault="006E0488" w:rsidP="006E0488">
            <w:pPr>
              <w:shd w:val="clear" w:color="auto" w:fill="FFFFFF"/>
              <w:spacing w:after="0" w:line="240" w:lineRule="auto"/>
              <w:jc w:val="both"/>
              <w:rPr>
                <w:rFonts w:ascii="Overpass" w:eastAsia="Times New Roman" w:hAnsi="Overpass" w:cs="Calibri"/>
                <w:color w:val="212121"/>
                <w:lang w:eastAsia="it-IT"/>
              </w:rPr>
            </w:pPr>
            <w:r w:rsidRPr="006E0488">
              <w:rPr>
                <w:rFonts w:ascii="Overpass" w:eastAsia="Times New Roman" w:hAnsi="Overpass" w:cs="Calibri"/>
                <w:color w:val="212121"/>
                <w:lang w:eastAsia="it-IT"/>
              </w:rPr>
              <w:t>Investment loss, net</w:t>
            </w:r>
          </w:p>
        </w:tc>
        <w:tc>
          <w:tcPr>
            <w:tcW w:w="2665" w:type="dxa"/>
            <w:tcMar>
              <w:top w:w="15" w:type="dxa"/>
              <w:left w:w="15" w:type="dxa"/>
              <w:bottom w:w="15" w:type="dxa"/>
              <w:right w:w="0" w:type="dxa"/>
            </w:tcMar>
            <w:vAlign w:val="bottom"/>
            <w:hideMark/>
          </w:tcPr>
          <w:p w14:paraId="7CE580DE" w14:textId="77777777" w:rsidR="006E0488" w:rsidRPr="006E0488" w:rsidRDefault="006E0488" w:rsidP="006E0488">
            <w:pPr>
              <w:shd w:val="clear" w:color="auto" w:fill="FFFFFF"/>
              <w:spacing w:after="0" w:line="240" w:lineRule="auto"/>
              <w:jc w:val="right"/>
              <w:rPr>
                <w:rFonts w:ascii="Overpass" w:eastAsia="Times New Roman" w:hAnsi="Overpass" w:cs="Calibri"/>
                <w:color w:val="212121"/>
                <w:lang w:eastAsia="it-IT"/>
              </w:rPr>
            </w:pPr>
            <w:r w:rsidRPr="006E0488">
              <w:rPr>
                <w:rFonts w:ascii="Overpass" w:eastAsia="Times New Roman" w:hAnsi="Overpass" w:cs="Calibri"/>
                <w:color w:val="212121"/>
                <w:lang w:eastAsia="it-IT"/>
              </w:rPr>
              <w:t>(1,394)</w:t>
            </w:r>
          </w:p>
        </w:tc>
        <w:tc>
          <w:tcPr>
            <w:tcW w:w="0" w:type="auto"/>
            <w:vAlign w:val="bottom"/>
            <w:hideMark/>
          </w:tcPr>
          <w:p w14:paraId="0B8DB2DF" w14:textId="77777777" w:rsidR="006E0488" w:rsidRPr="006E0488" w:rsidRDefault="006E0488" w:rsidP="006E0488">
            <w:pPr>
              <w:shd w:val="clear" w:color="auto" w:fill="FFFFFF"/>
              <w:spacing w:after="0" w:line="240" w:lineRule="auto"/>
              <w:jc w:val="right"/>
              <w:rPr>
                <w:rFonts w:ascii="Overpass" w:eastAsia="Times New Roman" w:hAnsi="Overpass" w:cs="Calibri"/>
                <w:color w:val="212121"/>
                <w:lang w:eastAsia="it-IT"/>
              </w:rPr>
            </w:pPr>
            <w:r w:rsidRPr="006E0488">
              <w:rPr>
                <w:rFonts w:ascii="Overpass" w:eastAsia="Times New Roman" w:hAnsi="Overpass" w:cs="Calibri"/>
                <w:color w:val="212121"/>
                <w:lang w:eastAsia="it-IT"/>
              </w:rPr>
              <w:t> </w:t>
            </w:r>
          </w:p>
        </w:tc>
        <w:tc>
          <w:tcPr>
            <w:tcW w:w="2213" w:type="dxa"/>
            <w:tcMar>
              <w:top w:w="15" w:type="dxa"/>
              <w:left w:w="15" w:type="dxa"/>
              <w:bottom w:w="15" w:type="dxa"/>
              <w:right w:w="0" w:type="dxa"/>
            </w:tcMar>
            <w:vAlign w:val="bottom"/>
            <w:hideMark/>
          </w:tcPr>
          <w:p w14:paraId="5613CFFB" w14:textId="77777777" w:rsidR="006E0488" w:rsidRPr="006E0488" w:rsidRDefault="006E0488" w:rsidP="006E0488">
            <w:pPr>
              <w:shd w:val="clear" w:color="auto" w:fill="FFFFFF"/>
              <w:spacing w:after="0" w:line="240" w:lineRule="auto"/>
              <w:jc w:val="right"/>
              <w:rPr>
                <w:rFonts w:ascii="Overpass" w:eastAsia="Times New Roman" w:hAnsi="Overpass" w:cs="Calibri"/>
                <w:color w:val="212121"/>
                <w:lang w:eastAsia="it-IT"/>
              </w:rPr>
            </w:pPr>
            <w:r w:rsidRPr="006E0488">
              <w:rPr>
                <w:rFonts w:ascii="Overpass" w:eastAsia="Times New Roman" w:hAnsi="Overpass" w:cs="Calibri"/>
                <w:color w:val="212121"/>
                <w:lang w:eastAsia="it-IT"/>
              </w:rPr>
              <w:t>(2,163)</w:t>
            </w:r>
          </w:p>
        </w:tc>
      </w:tr>
      <w:tr w:rsidR="006E0488" w:rsidRPr="006E0488" w14:paraId="7FB33BE5" w14:textId="77777777" w:rsidTr="006E0488">
        <w:tc>
          <w:tcPr>
            <w:tcW w:w="4253" w:type="dxa"/>
            <w:vAlign w:val="bottom"/>
            <w:hideMark/>
          </w:tcPr>
          <w:p w14:paraId="20259D16" w14:textId="77777777" w:rsidR="006E0488" w:rsidRPr="006E0488" w:rsidRDefault="006E0488" w:rsidP="006E0488">
            <w:pPr>
              <w:shd w:val="clear" w:color="auto" w:fill="FFFFFF"/>
              <w:spacing w:after="0" w:line="240" w:lineRule="auto"/>
              <w:jc w:val="both"/>
              <w:rPr>
                <w:rFonts w:ascii="Overpass" w:eastAsia="Times New Roman" w:hAnsi="Overpass" w:cs="Calibri"/>
                <w:color w:val="212121"/>
                <w:lang w:eastAsia="it-IT"/>
              </w:rPr>
            </w:pPr>
            <w:r w:rsidRPr="006E0488">
              <w:rPr>
                <w:rFonts w:ascii="Overpass" w:eastAsia="Times New Roman" w:hAnsi="Overpass" w:cs="Calibri"/>
                <w:color w:val="212121"/>
                <w:lang w:eastAsia="it-IT"/>
              </w:rPr>
              <w:lastRenderedPageBreak/>
              <w:t>Share of results of equity method investments</w:t>
            </w:r>
          </w:p>
        </w:tc>
        <w:tc>
          <w:tcPr>
            <w:tcW w:w="2665" w:type="dxa"/>
            <w:tcMar>
              <w:top w:w="15" w:type="dxa"/>
              <w:left w:w="15" w:type="dxa"/>
              <w:bottom w:w="15" w:type="dxa"/>
              <w:right w:w="0" w:type="dxa"/>
            </w:tcMar>
            <w:vAlign w:val="bottom"/>
            <w:hideMark/>
          </w:tcPr>
          <w:p w14:paraId="5E082251" w14:textId="77777777" w:rsidR="006E0488" w:rsidRPr="006E0488" w:rsidRDefault="006E0488" w:rsidP="006E0488">
            <w:pPr>
              <w:shd w:val="clear" w:color="auto" w:fill="FFFFFF"/>
              <w:spacing w:after="0" w:line="240" w:lineRule="auto"/>
              <w:jc w:val="right"/>
              <w:rPr>
                <w:rFonts w:ascii="Overpass" w:eastAsia="Times New Roman" w:hAnsi="Overpass" w:cs="Calibri"/>
                <w:color w:val="212121"/>
                <w:lang w:eastAsia="it-IT"/>
              </w:rPr>
            </w:pPr>
            <w:r w:rsidRPr="006E0488">
              <w:rPr>
                <w:rFonts w:ascii="Overpass" w:eastAsia="Times New Roman" w:hAnsi="Overpass" w:cs="Calibri"/>
                <w:color w:val="212121"/>
                <w:lang w:eastAsia="it-IT"/>
              </w:rPr>
              <w:t>201</w:t>
            </w:r>
          </w:p>
        </w:tc>
        <w:tc>
          <w:tcPr>
            <w:tcW w:w="0" w:type="auto"/>
            <w:vAlign w:val="bottom"/>
            <w:hideMark/>
          </w:tcPr>
          <w:p w14:paraId="791968A5" w14:textId="77777777" w:rsidR="006E0488" w:rsidRPr="006E0488" w:rsidRDefault="006E0488" w:rsidP="006E0488">
            <w:pPr>
              <w:shd w:val="clear" w:color="auto" w:fill="FFFFFF"/>
              <w:spacing w:after="0" w:line="240" w:lineRule="auto"/>
              <w:jc w:val="right"/>
              <w:rPr>
                <w:rFonts w:ascii="Overpass" w:eastAsia="Times New Roman" w:hAnsi="Overpass" w:cs="Calibri"/>
                <w:color w:val="212121"/>
                <w:lang w:eastAsia="it-IT"/>
              </w:rPr>
            </w:pPr>
            <w:r w:rsidRPr="006E0488">
              <w:rPr>
                <w:rFonts w:ascii="Overpass" w:eastAsia="Times New Roman" w:hAnsi="Overpass" w:cs="Calibri"/>
                <w:color w:val="212121"/>
                <w:lang w:eastAsia="it-IT"/>
              </w:rPr>
              <w:t> </w:t>
            </w:r>
          </w:p>
        </w:tc>
        <w:tc>
          <w:tcPr>
            <w:tcW w:w="2213" w:type="dxa"/>
            <w:tcMar>
              <w:top w:w="15" w:type="dxa"/>
              <w:left w:w="15" w:type="dxa"/>
              <w:bottom w:w="15" w:type="dxa"/>
              <w:right w:w="0" w:type="dxa"/>
            </w:tcMar>
            <w:vAlign w:val="bottom"/>
            <w:hideMark/>
          </w:tcPr>
          <w:p w14:paraId="5ED07F5F" w14:textId="77777777" w:rsidR="006E0488" w:rsidRPr="006E0488" w:rsidRDefault="006E0488" w:rsidP="006E0488">
            <w:pPr>
              <w:shd w:val="clear" w:color="auto" w:fill="FFFFFF"/>
              <w:spacing w:after="0" w:line="240" w:lineRule="auto"/>
              <w:jc w:val="right"/>
              <w:rPr>
                <w:rFonts w:ascii="Overpass" w:eastAsia="Times New Roman" w:hAnsi="Overpass" w:cs="Calibri"/>
                <w:color w:val="212121"/>
                <w:lang w:eastAsia="it-IT"/>
              </w:rPr>
            </w:pPr>
            <w:r w:rsidRPr="006E0488">
              <w:rPr>
                <w:rFonts w:ascii="Overpass" w:eastAsia="Times New Roman" w:hAnsi="Overpass" w:cs="Calibri"/>
                <w:color w:val="212121"/>
                <w:lang w:eastAsia="it-IT"/>
              </w:rPr>
              <w:t>(465)</w:t>
            </w:r>
          </w:p>
        </w:tc>
      </w:tr>
      <w:tr w:rsidR="006E0488" w:rsidRPr="006E0488" w14:paraId="27270825" w14:textId="77777777" w:rsidTr="006E0488">
        <w:tc>
          <w:tcPr>
            <w:tcW w:w="4253" w:type="dxa"/>
            <w:vAlign w:val="bottom"/>
            <w:hideMark/>
          </w:tcPr>
          <w:p w14:paraId="1A0DBEF9" w14:textId="77777777" w:rsidR="006E0488" w:rsidRPr="006E0488" w:rsidRDefault="006E0488" w:rsidP="006E0488">
            <w:pPr>
              <w:shd w:val="clear" w:color="auto" w:fill="FFFFFF"/>
              <w:spacing w:after="0" w:line="240" w:lineRule="auto"/>
              <w:jc w:val="both"/>
              <w:rPr>
                <w:rFonts w:ascii="Overpass" w:eastAsia="Times New Roman" w:hAnsi="Overpass" w:cs="Calibri"/>
                <w:color w:val="212121"/>
                <w:lang w:eastAsia="it-IT"/>
              </w:rPr>
            </w:pPr>
            <w:r w:rsidRPr="006E0488">
              <w:rPr>
                <w:rFonts w:ascii="Overpass" w:eastAsia="Times New Roman" w:hAnsi="Overpass" w:cs="Calibri"/>
                <w:color w:val="212121"/>
                <w:lang w:eastAsia="it-IT"/>
              </w:rPr>
              <w:t>Foreign currency exchange gains (losses), net</w:t>
            </w:r>
          </w:p>
        </w:tc>
        <w:tc>
          <w:tcPr>
            <w:tcW w:w="2665" w:type="dxa"/>
            <w:tcMar>
              <w:top w:w="15" w:type="dxa"/>
              <w:left w:w="15" w:type="dxa"/>
              <w:bottom w:w="15" w:type="dxa"/>
              <w:right w:w="0" w:type="dxa"/>
            </w:tcMar>
            <w:vAlign w:val="bottom"/>
            <w:hideMark/>
          </w:tcPr>
          <w:p w14:paraId="1C6416D3" w14:textId="77777777" w:rsidR="006E0488" w:rsidRPr="006E0488" w:rsidRDefault="006E0488" w:rsidP="006E0488">
            <w:pPr>
              <w:shd w:val="clear" w:color="auto" w:fill="FFFFFF"/>
              <w:spacing w:after="0" w:line="240" w:lineRule="auto"/>
              <w:jc w:val="right"/>
              <w:rPr>
                <w:rFonts w:ascii="Overpass" w:eastAsia="Times New Roman" w:hAnsi="Overpass" w:cs="Calibri"/>
                <w:color w:val="212121"/>
                <w:lang w:eastAsia="it-IT"/>
              </w:rPr>
            </w:pPr>
            <w:r w:rsidRPr="006E0488">
              <w:rPr>
                <w:rFonts w:ascii="Overpass" w:eastAsia="Times New Roman" w:hAnsi="Overpass" w:cs="Calibri"/>
                <w:color w:val="212121"/>
                <w:lang w:eastAsia="it-IT"/>
              </w:rPr>
              <w:t>(6,667)</w:t>
            </w:r>
          </w:p>
        </w:tc>
        <w:tc>
          <w:tcPr>
            <w:tcW w:w="0" w:type="auto"/>
            <w:vAlign w:val="bottom"/>
            <w:hideMark/>
          </w:tcPr>
          <w:p w14:paraId="46CC5140" w14:textId="77777777" w:rsidR="006E0488" w:rsidRPr="006E0488" w:rsidRDefault="006E0488" w:rsidP="006E0488">
            <w:pPr>
              <w:shd w:val="clear" w:color="auto" w:fill="FFFFFF"/>
              <w:spacing w:after="0" w:line="240" w:lineRule="auto"/>
              <w:jc w:val="right"/>
              <w:rPr>
                <w:rFonts w:ascii="Overpass" w:eastAsia="Times New Roman" w:hAnsi="Overpass" w:cs="Calibri"/>
                <w:color w:val="212121"/>
                <w:lang w:eastAsia="it-IT"/>
              </w:rPr>
            </w:pPr>
            <w:r w:rsidRPr="006E0488">
              <w:rPr>
                <w:rFonts w:ascii="Overpass" w:eastAsia="Times New Roman" w:hAnsi="Overpass" w:cs="Calibri"/>
                <w:color w:val="212121"/>
                <w:lang w:eastAsia="it-IT"/>
              </w:rPr>
              <w:t> </w:t>
            </w:r>
          </w:p>
        </w:tc>
        <w:tc>
          <w:tcPr>
            <w:tcW w:w="2213" w:type="dxa"/>
            <w:tcMar>
              <w:top w:w="15" w:type="dxa"/>
              <w:left w:w="15" w:type="dxa"/>
              <w:bottom w:w="15" w:type="dxa"/>
              <w:right w:w="0" w:type="dxa"/>
            </w:tcMar>
            <w:vAlign w:val="bottom"/>
            <w:hideMark/>
          </w:tcPr>
          <w:p w14:paraId="2755F1B9" w14:textId="77777777" w:rsidR="006E0488" w:rsidRPr="006E0488" w:rsidRDefault="006E0488" w:rsidP="006E0488">
            <w:pPr>
              <w:shd w:val="clear" w:color="auto" w:fill="FFFFFF"/>
              <w:spacing w:after="0" w:line="240" w:lineRule="auto"/>
              <w:jc w:val="right"/>
              <w:rPr>
                <w:rFonts w:ascii="Overpass" w:eastAsia="Times New Roman" w:hAnsi="Overpass" w:cs="Calibri"/>
                <w:color w:val="212121"/>
                <w:lang w:eastAsia="it-IT"/>
              </w:rPr>
            </w:pPr>
            <w:r w:rsidRPr="006E0488">
              <w:rPr>
                <w:rFonts w:ascii="Overpass" w:eastAsia="Times New Roman" w:hAnsi="Overpass" w:cs="Calibri"/>
                <w:color w:val="212121"/>
                <w:lang w:eastAsia="it-IT"/>
              </w:rPr>
              <w:t>3,062</w:t>
            </w:r>
          </w:p>
        </w:tc>
      </w:tr>
      <w:tr w:rsidR="006E0488" w:rsidRPr="006E0488" w14:paraId="74D810F5" w14:textId="77777777" w:rsidTr="006E0488">
        <w:tc>
          <w:tcPr>
            <w:tcW w:w="4253" w:type="dxa"/>
            <w:vAlign w:val="bottom"/>
            <w:hideMark/>
          </w:tcPr>
          <w:p w14:paraId="1F70474A" w14:textId="77777777" w:rsidR="006E0488" w:rsidRPr="006E0488" w:rsidRDefault="006E0488" w:rsidP="006E0488">
            <w:pPr>
              <w:shd w:val="clear" w:color="auto" w:fill="FFFFFF"/>
              <w:spacing w:after="0" w:line="240" w:lineRule="auto"/>
              <w:jc w:val="both"/>
              <w:rPr>
                <w:rFonts w:ascii="Overpass" w:eastAsia="Times New Roman" w:hAnsi="Overpass" w:cs="Calibri"/>
                <w:color w:val="212121"/>
                <w:lang w:eastAsia="it-IT"/>
              </w:rPr>
            </w:pPr>
            <w:r w:rsidRPr="006E0488">
              <w:rPr>
                <w:rFonts w:ascii="Overpass" w:eastAsia="Times New Roman" w:hAnsi="Overpass" w:cs="Calibri"/>
                <w:color w:val="212121"/>
                <w:lang w:eastAsia="it-IT"/>
              </w:rPr>
              <w:t>Changes in fair values of mandatorily redeemable noncontrolling interest, exchangeable notes and convertible notes, excluding impact of instrument-specific credit risk</w:t>
            </w:r>
          </w:p>
        </w:tc>
        <w:tc>
          <w:tcPr>
            <w:tcW w:w="2665" w:type="dxa"/>
            <w:tcMar>
              <w:top w:w="15" w:type="dxa"/>
              <w:left w:w="15" w:type="dxa"/>
              <w:bottom w:w="15" w:type="dxa"/>
              <w:right w:w="0" w:type="dxa"/>
            </w:tcMar>
            <w:vAlign w:val="bottom"/>
            <w:hideMark/>
          </w:tcPr>
          <w:p w14:paraId="316B9F2D" w14:textId="77777777" w:rsidR="006E0488" w:rsidRPr="006E0488" w:rsidRDefault="006E0488" w:rsidP="006E0488">
            <w:pPr>
              <w:shd w:val="clear" w:color="auto" w:fill="FFFFFF"/>
              <w:spacing w:after="0" w:line="240" w:lineRule="auto"/>
              <w:jc w:val="right"/>
              <w:rPr>
                <w:rFonts w:ascii="Overpass" w:eastAsia="Times New Roman" w:hAnsi="Overpass" w:cs="Calibri"/>
                <w:color w:val="212121"/>
                <w:lang w:eastAsia="it-IT"/>
              </w:rPr>
            </w:pPr>
            <w:r w:rsidRPr="006E0488">
              <w:rPr>
                <w:rFonts w:ascii="Overpass" w:eastAsia="Times New Roman" w:hAnsi="Overpass" w:cs="Calibri"/>
                <w:color w:val="212121"/>
                <w:lang w:eastAsia="it-IT"/>
              </w:rPr>
              <w:t>8,404</w:t>
            </w:r>
          </w:p>
        </w:tc>
        <w:tc>
          <w:tcPr>
            <w:tcW w:w="0" w:type="auto"/>
            <w:vAlign w:val="bottom"/>
            <w:hideMark/>
          </w:tcPr>
          <w:p w14:paraId="08C64B28" w14:textId="77777777" w:rsidR="006E0488" w:rsidRPr="006E0488" w:rsidRDefault="006E0488" w:rsidP="006E0488">
            <w:pPr>
              <w:shd w:val="clear" w:color="auto" w:fill="FFFFFF"/>
              <w:spacing w:after="0" w:line="240" w:lineRule="auto"/>
              <w:jc w:val="right"/>
              <w:rPr>
                <w:rFonts w:ascii="Overpass" w:eastAsia="Times New Roman" w:hAnsi="Overpass" w:cs="Calibri"/>
                <w:color w:val="212121"/>
                <w:lang w:eastAsia="it-IT"/>
              </w:rPr>
            </w:pPr>
            <w:r w:rsidRPr="006E0488">
              <w:rPr>
                <w:rFonts w:ascii="Overpass" w:eastAsia="Times New Roman" w:hAnsi="Overpass" w:cs="Calibri"/>
                <w:color w:val="212121"/>
                <w:lang w:eastAsia="it-IT"/>
              </w:rPr>
              <w:t> </w:t>
            </w:r>
          </w:p>
        </w:tc>
        <w:tc>
          <w:tcPr>
            <w:tcW w:w="2213" w:type="dxa"/>
            <w:tcMar>
              <w:top w:w="15" w:type="dxa"/>
              <w:left w:w="15" w:type="dxa"/>
              <w:bottom w:w="15" w:type="dxa"/>
              <w:right w:w="0" w:type="dxa"/>
            </w:tcMar>
            <w:vAlign w:val="bottom"/>
            <w:hideMark/>
          </w:tcPr>
          <w:p w14:paraId="3A3DEDC9" w14:textId="77777777" w:rsidR="006E0488" w:rsidRPr="006E0488" w:rsidRDefault="006E0488" w:rsidP="006E0488">
            <w:pPr>
              <w:shd w:val="clear" w:color="auto" w:fill="FFFFFF"/>
              <w:spacing w:after="0" w:line="240" w:lineRule="auto"/>
              <w:jc w:val="right"/>
              <w:rPr>
                <w:rFonts w:ascii="Overpass" w:eastAsia="Times New Roman" w:hAnsi="Overpass" w:cs="Calibri"/>
                <w:color w:val="212121"/>
                <w:lang w:eastAsia="it-IT"/>
              </w:rPr>
            </w:pPr>
            <w:r w:rsidRPr="006E0488">
              <w:rPr>
                <w:rFonts w:ascii="Overpass" w:eastAsia="Times New Roman" w:hAnsi="Overpass" w:cs="Calibri"/>
                <w:color w:val="212121"/>
                <w:lang w:eastAsia="it-IT"/>
              </w:rPr>
              <w:t>(2,535)</w:t>
            </w:r>
          </w:p>
        </w:tc>
      </w:tr>
      <w:tr w:rsidR="006E0488" w:rsidRPr="006E0488" w14:paraId="513EEACC" w14:textId="77777777" w:rsidTr="006E0488">
        <w:tc>
          <w:tcPr>
            <w:tcW w:w="4253" w:type="dxa"/>
            <w:vAlign w:val="bottom"/>
            <w:hideMark/>
          </w:tcPr>
          <w:p w14:paraId="200F7826" w14:textId="77777777" w:rsidR="006E0488" w:rsidRPr="006E0488" w:rsidRDefault="006E0488" w:rsidP="006E0488">
            <w:pPr>
              <w:shd w:val="clear" w:color="auto" w:fill="FFFFFF"/>
              <w:spacing w:after="0" w:line="240" w:lineRule="auto"/>
              <w:jc w:val="both"/>
              <w:rPr>
                <w:rFonts w:ascii="Overpass" w:eastAsia="Times New Roman" w:hAnsi="Overpass" w:cs="Calibri"/>
                <w:color w:val="212121"/>
                <w:lang w:eastAsia="it-IT"/>
              </w:rPr>
            </w:pPr>
            <w:r w:rsidRPr="006E0488">
              <w:rPr>
                <w:rFonts w:ascii="Overpass" w:eastAsia="Times New Roman" w:hAnsi="Overpass" w:cs="Calibri"/>
                <w:color w:val="212121"/>
                <w:lang w:eastAsia="it-IT"/>
              </w:rPr>
              <w:t>Changes in fair values of warrant liabilities</w:t>
            </w:r>
          </w:p>
        </w:tc>
        <w:tc>
          <w:tcPr>
            <w:tcW w:w="2665" w:type="dxa"/>
            <w:tcMar>
              <w:top w:w="15" w:type="dxa"/>
              <w:left w:w="15" w:type="dxa"/>
              <w:bottom w:w="15" w:type="dxa"/>
              <w:right w:w="0" w:type="dxa"/>
            </w:tcMar>
            <w:vAlign w:val="bottom"/>
            <w:hideMark/>
          </w:tcPr>
          <w:p w14:paraId="0C8107EC" w14:textId="77777777" w:rsidR="006E0488" w:rsidRPr="006E0488" w:rsidRDefault="006E0488" w:rsidP="006E0488">
            <w:pPr>
              <w:shd w:val="clear" w:color="auto" w:fill="FFFFFF"/>
              <w:spacing w:after="0" w:line="240" w:lineRule="auto"/>
              <w:jc w:val="right"/>
              <w:rPr>
                <w:rFonts w:ascii="Overpass" w:eastAsia="Times New Roman" w:hAnsi="Overpass" w:cs="Calibri"/>
                <w:color w:val="212121"/>
                <w:lang w:eastAsia="it-IT"/>
              </w:rPr>
            </w:pPr>
            <w:r w:rsidRPr="006E0488">
              <w:rPr>
                <w:rFonts w:ascii="Overpass" w:eastAsia="Times New Roman" w:hAnsi="Overpass" w:cs="Calibri"/>
                <w:color w:val="212121"/>
                <w:lang w:eastAsia="it-IT"/>
              </w:rPr>
              <w:t>4,853</w:t>
            </w:r>
          </w:p>
        </w:tc>
        <w:tc>
          <w:tcPr>
            <w:tcW w:w="0" w:type="auto"/>
            <w:vAlign w:val="bottom"/>
            <w:hideMark/>
          </w:tcPr>
          <w:p w14:paraId="4D19B277" w14:textId="77777777" w:rsidR="006E0488" w:rsidRPr="006E0488" w:rsidRDefault="006E0488" w:rsidP="006E0488">
            <w:pPr>
              <w:shd w:val="clear" w:color="auto" w:fill="FFFFFF"/>
              <w:spacing w:after="0" w:line="240" w:lineRule="auto"/>
              <w:jc w:val="right"/>
              <w:rPr>
                <w:rFonts w:ascii="Overpass" w:eastAsia="Times New Roman" w:hAnsi="Overpass" w:cs="Calibri"/>
                <w:color w:val="212121"/>
                <w:lang w:eastAsia="it-IT"/>
              </w:rPr>
            </w:pPr>
            <w:r w:rsidRPr="006E0488">
              <w:rPr>
                <w:rFonts w:ascii="Overpass" w:eastAsia="Times New Roman" w:hAnsi="Overpass" w:cs="Calibri"/>
                <w:color w:val="212121"/>
                <w:lang w:eastAsia="it-IT"/>
              </w:rPr>
              <w:t> </w:t>
            </w:r>
          </w:p>
        </w:tc>
        <w:tc>
          <w:tcPr>
            <w:tcW w:w="2213" w:type="dxa"/>
            <w:tcMar>
              <w:top w:w="15" w:type="dxa"/>
              <w:left w:w="15" w:type="dxa"/>
              <w:bottom w:w="15" w:type="dxa"/>
              <w:right w:w="0" w:type="dxa"/>
            </w:tcMar>
            <w:vAlign w:val="bottom"/>
            <w:hideMark/>
          </w:tcPr>
          <w:p w14:paraId="6DE04EE0" w14:textId="77777777" w:rsidR="006E0488" w:rsidRPr="006E0488" w:rsidRDefault="006E0488" w:rsidP="006E0488">
            <w:pPr>
              <w:shd w:val="clear" w:color="auto" w:fill="FFFFFF"/>
              <w:spacing w:after="0" w:line="240" w:lineRule="auto"/>
              <w:jc w:val="right"/>
              <w:rPr>
                <w:rFonts w:ascii="Overpass" w:eastAsia="Times New Roman" w:hAnsi="Overpass" w:cs="Calibri"/>
                <w:color w:val="212121"/>
                <w:lang w:eastAsia="it-IT"/>
              </w:rPr>
            </w:pPr>
            <w:r w:rsidRPr="006E0488">
              <w:rPr>
                <w:rFonts w:ascii="Overpass" w:eastAsia="Times New Roman" w:hAnsi="Overpass" w:cs="Calibri"/>
                <w:color w:val="212121"/>
                <w:lang w:eastAsia="it-IT"/>
              </w:rPr>
              <w:t>-</w:t>
            </w:r>
          </w:p>
        </w:tc>
      </w:tr>
      <w:tr w:rsidR="006E0488" w:rsidRPr="006E0488" w14:paraId="6A6E45FF" w14:textId="77777777" w:rsidTr="006E0488">
        <w:tc>
          <w:tcPr>
            <w:tcW w:w="4253" w:type="dxa"/>
            <w:vAlign w:val="bottom"/>
            <w:hideMark/>
          </w:tcPr>
          <w:p w14:paraId="75C284E0" w14:textId="77777777" w:rsidR="006E0488" w:rsidRPr="006E0488" w:rsidRDefault="006E0488" w:rsidP="006E0488">
            <w:pPr>
              <w:shd w:val="clear" w:color="auto" w:fill="FFFFFF"/>
              <w:spacing w:after="0" w:line="240" w:lineRule="auto"/>
              <w:jc w:val="both"/>
              <w:rPr>
                <w:rFonts w:ascii="Overpass" w:eastAsia="Times New Roman" w:hAnsi="Overpass" w:cs="Calibri"/>
                <w:color w:val="212121"/>
                <w:lang w:eastAsia="it-IT"/>
              </w:rPr>
            </w:pPr>
            <w:r w:rsidRPr="006E0488">
              <w:rPr>
                <w:rFonts w:ascii="Overpass" w:eastAsia="Times New Roman" w:hAnsi="Overpass" w:cs="Calibri"/>
                <w:color w:val="212121"/>
                <w:lang w:eastAsia="it-IT"/>
              </w:rPr>
              <w:t>Changes in fair values of put option liabilities</w:t>
            </w:r>
          </w:p>
        </w:tc>
        <w:tc>
          <w:tcPr>
            <w:tcW w:w="2665" w:type="dxa"/>
            <w:tcMar>
              <w:top w:w="15" w:type="dxa"/>
              <w:left w:w="15" w:type="dxa"/>
              <w:bottom w:w="15" w:type="dxa"/>
              <w:right w:w="0" w:type="dxa"/>
            </w:tcMar>
            <w:vAlign w:val="bottom"/>
            <w:hideMark/>
          </w:tcPr>
          <w:p w14:paraId="42706D60" w14:textId="77777777" w:rsidR="006E0488" w:rsidRPr="006E0488" w:rsidRDefault="006E0488" w:rsidP="006E0488">
            <w:pPr>
              <w:shd w:val="clear" w:color="auto" w:fill="FFFFFF"/>
              <w:spacing w:after="0" w:line="240" w:lineRule="auto"/>
              <w:jc w:val="right"/>
              <w:rPr>
                <w:rFonts w:ascii="Overpass" w:eastAsia="Times New Roman" w:hAnsi="Overpass" w:cs="Calibri"/>
                <w:color w:val="212121"/>
                <w:lang w:eastAsia="it-IT"/>
              </w:rPr>
            </w:pPr>
            <w:r w:rsidRPr="006E0488">
              <w:rPr>
                <w:rFonts w:ascii="Overpass" w:eastAsia="Times New Roman" w:hAnsi="Overpass" w:cs="Calibri"/>
                <w:color w:val="212121"/>
                <w:lang w:eastAsia="it-IT"/>
              </w:rPr>
              <w:t>(27,880)</w:t>
            </w:r>
          </w:p>
        </w:tc>
        <w:tc>
          <w:tcPr>
            <w:tcW w:w="0" w:type="auto"/>
            <w:vAlign w:val="bottom"/>
            <w:hideMark/>
          </w:tcPr>
          <w:p w14:paraId="6E20DA35" w14:textId="77777777" w:rsidR="006E0488" w:rsidRPr="006E0488" w:rsidRDefault="006E0488" w:rsidP="006E0488">
            <w:pPr>
              <w:shd w:val="clear" w:color="auto" w:fill="FFFFFF"/>
              <w:spacing w:after="0" w:line="240" w:lineRule="auto"/>
              <w:jc w:val="right"/>
              <w:rPr>
                <w:rFonts w:ascii="Overpass" w:eastAsia="Times New Roman" w:hAnsi="Overpass" w:cs="Calibri"/>
                <w:color w:val="212121"/>
                <w:lang w:eastAsia="it-IT"/>
              </w:rPr>
            </w:pPr>
            <w:r w:rsidRPr="006E0488">
              <w:rPr>
                <w:rFonts w:ascii="Overpass" w:eastAsia="Times New Roman" w:hAnsi="Overpass" w:cs="Calibri"/>
                <w:color w:val="212121"/>
                <w:lang w:eastAsia="it-IT"/>
              </w:rPr>
              <w:t> </w:t>
            </w:r>
          </w:p>
        </w:tc>
        <w:tc>
          <w:tcPr>
            <w:tcW w:w="2213" w:type="dxa"/>
            <w:tcMar>
              <w:top w:w="15" w:type="dxa"/>
              <w:left w:w="15" w:type="dxa"/>
              <w:bottom w:w="15" w:type="dxa"/>
              <w:right w:w="0" w:type="dxa"/>
            </w:tcMar>
            <w:vAlign w:val="bottom"/>
            <w:hideMark/>
          </w:tcPr>
          <w:p w14:paraId="7D601764" w14:textId="77777777" w:rsidR="006E0488" w:rsidRPr="006E0488" w:rsidRDefault="006E0488" w:rsidP="006E0488">
            <w:pPr>
              <w:shd w:val="clear" w:color="auto" w:fill="FFFFFF"/>
              <w:spacing w:after="0" w:line="240" w:lineRule="auto"/>
              <w:jc w:val="right"/>
              <w:rPr>
                <w:rFonts w:ascii="Overpass" w:eastAsia="Times New Roman" w:hAnsi="Overpass" w:cs="Calibri"/>
                <w:color w:val="212121"/>
                <w:lang w:eastAsia="it-IT"/>
              </w:rPr>
            </w:pPr>
            <w:r w:rsidRPr="006E0488">
              <w:rPr>
                <w:rFonts w:ascii="Overpass" w:eastAsia="Times New Roman" w:hAnsi="Overpass" w:cs="Calibri"/>
                <w:color w:val="212121"/>
                <w:lang w:eastAsia="it-IT"/>
              </w:rPr>
              <w:t>1,874</w:t>
            </w:r>
          </w:p>
        </w:tc>
      </w:tr>
      <w:tr w:rsidR="006E0488" w:rsidRPr="006E0488" w14:paraId="4D628D2C" w14:textId="77777777" w:rsidTr="006E0488">
        <w:tc>
          <w:tcPr>
            <w:tcW w:w="4253" w:type="dxa"/>
            <w:vAlign w:val="bottom"/>
            <w:hideMark/>
          </w:tcPr>
          <w:p w14:paraId="23802C6B" w14:textId="77777777" w:rsidR="006E0488" w:rsidRPr="006E0488" w:rsidRDefault="006E0488" w:rsidP="006E0488">
            <w:pPr>
              <w:shd w:val="clear" w:color="auto" w:fill="FFFFFF"/>
              <w:spacing w:after="0" w:line="240" w:lineRule="auto"/>
              <w:jc w:val="both"/>
              <w:rPr>
                <w:rFonts w:ascii="Overpass" w:eastAsia="Times New Roman" w:hAnsi="Overpass" w:cs="Calibri"/>
                <w:color w:val="212121"/>
                <w:lang w:eastAsia="it-IT"/>
              </w:rPr>
            </w:pPr>
            <w:r w:rsidRPr="006E0488">
              <w:rPr>
                <w:rFonts w:ascii="Overpass" w:eastAsia="Times New Roman" w:hAnsi="Overpass" w:cs="Calibri"/>
                <w:b/>
                <w:bCs/>
                <w:color w:val="212121"/>
                <w:lang w:eastAsia="it-IT"/>
              </w:rPr>
              <w:t>Loss before income taxes</w:t>
            </w:r>
          </w:p>
        </w:tc>
        <w:tc>
          <w:tcPr>
            <w:tcW w:w="2665" w:type="dxa"/>
            <w:tcMar>
              <w:top w:w="15" w:type="dxa"/>
              <w:left w:w="15" w:type="dxa"/>
              <w:bottom w:w="15" w:type="dxa"/>
              <w:right w:w="0" w:type="dxa"/>
            </w:tcMar>
            <w:vAlign w:val="bottom"/>
            <w:hideMark/>
          </w:tcPr>
          <w:p w14:paraId="0734C41D" w14:textId="77777777" w:rsidR="006E0488" w:rsidRPr="006E0488" w:rsidRDefault="006E0488" w:rsidP="006E0488">
            <w:pPr>
              <w:shd w:val="clear" w:color="auto" w:fill="FFFFFF"/>
              <w:spacing w:after="0" w:line="240" w:lineRule="auto"/>
              <w:jc w:val="right"/>
              <w:rPr>
                <w:rFonts w:ascii="Overpass" w:eastAsia="Times New Roman" w:hAnsi="Overpass" w:cs="Calibri"/>
                <w:color w:val="212121"/>
                <w:lang w:eastAsia="it-IT"/>
              </w:rPr>
            </w:pPr>
            <w:r w:rsidRPr="006E0488">
              <w:rPr>
                <w:rFonts w:ascii="Overpass" w:eastAsia="Times New Roman" w:hAnsi="Overpass" w:cs="Calibri"/>
                <w:b/>
                <w:bCs/>
                <w:color w:val="212121"/>
                <w:lang w:eastAsia="it-IT"/>
              </w:rPr>
              <w:t>(258,083)</w:t>
            </w:r>
          </w:p>
        </w:tc>
        <w:tc>
          <w:tcPr>
            <w:tcW w:w="0" w:type="auto"/>
            <w:vAlign w:val="bottom"/>
            <w:hideMark/>
          </w:tcPr>
          <w:p w14:paraId="0E544BB4" w14:textId="77777777" w:rsidR="006E0488" w:rsidRPr="006E0488" w:rsidRDefault="006E0488" w:rsidP="006E0488">
            <w:pPr>
              <w:shd w:val="clear" w:color="auto" w:fill="FFFFFF"/>
              <w:spacing w:after="0" w:line="240" w:lineRule="auto"/>
              <w:jc w:val="right"/>
              <w:rPr>
                <w:rFonts w:ascii="Overpass" w:eastAsia="Times New Roman" w:hAnsi="Overpass" w:cs="Calibri"/>
                <w:color w:val="212121"/>
                <w:lang w:eastAsia="it-IT"/>
              </w:rPr>
            </w:pPr>
            <w:r w:rsidRPr="006E0488">
              <w:rPr>
                <w:rFonts w:ascii="Overpass" w:eastAsia="Times New Roman" w:hAnsi="Overpass" w:cs="Calibri"/>
                <w:color w:val="212121"/>
                <w:lang w:eastAsia="it-IT"/>
              </w:rPr>
              <w:t> </w:t>
            </w:r>
          </w:p>
        </w:tc>
        <w:tc>
          <w:tcPr>
            <w:tcW w:w="2213" w:type="dxa"/>
            <w:tcMar>
              <w:top w:w="15" w:type="dxa"/>
              <w:left w:w="15" w:type="dxa"/>
              <w:bottom w:w="15" w:type="dxa"/>
              <w:right w:w="0" w:type="dxa"/>
            </w:tcMar>
            <w:vAlign w:val="bottom"/>
            <w:hideMark/>
          </w:tcPr>
          <w:p w14:paraId="52E8F096" w14:textId="77777777" w:rsidR="006E0488" w:rsidRPr="006E0488" w:rsidRDefault="006E0488" w:rsidP="006E0488">
            <w:pPr>
              <w:shd w:val="clear" w:color="auto" w:fill="FFFFFF"/>
              <w:spacing w:after="0" w:line="240" w:lineRule="auto"/>
              <w:jc w:val="right"/>
              <w:rPr>
                <w:rFonts w:ascii="Overpass" w:eastAsia="Times New Roman" w:hAnsi="Overpass" w:cs="Calibri"/>
                <w:color w:val="212121"/>
                <w:lang w:eastAsia="it-IT"/>
              </w:rPr>
            </w:pPr>
            <w:r w:rsidRPr="006E0488">
              <w:rPr>
                <w:rFonts w:ascii="Overpass" w:eastAsia="Times New Roman" w:hAnsi="Overpass" w:cs="Calibri"/>
                <w:b/>
                <w:bCs/>
                <w:color w:val="212121"/>
                <w:lang w:eastAsia="it-IT"/>
              </w:rPr>
              <w:t>(159,664)</w:t>
            </w:r>
          </w:p>
        </w:tc>
      </w:tr>
      <w:tr w:rsidR="006E0488" w:rsidRPr="006E0488" w14:paraId="40A7BAA8" w14:textId="77777777" w:rsidTr="006E0488">
        <w:tc>
          <w:tcPr>
            <w:tcW w:w="4253" w:type="dxa"/>
            <w:vAlign w:val="bottom"/>
            <w:hideMark/>
          </w:tcPr>
          <w:p w14:paraId="58CEB34A" w14:textId="77777777" w:rsidR="006E0488" w:rsidRPr="006E0488" w:rsidRDefault="006E0488" w:rsidP="006E0488">
            <w:pPr>
              <w:shd w:val="clear" w:color="auto" w:fill="FFFFFF"/>
              <w:spacing w:after="0" w:line="240" w:lineRule="auto"/>
              <w:jc w:val="both"/>
              <w:rPr>
                <w:rFonts w:ascii="Overpass" w:eastAsia="Times New Roman" w:hAnsi="Overpass" w:cs="Calibri"/>
                <w:color w:val="212121"/>
                <w:lang w:eastAsia="it-IT"/>
              </w:rPr>
            </w:pPr>
            <w:r w:rsidRPr="006E0488">
              <w:rPr>
                <w:rFonts w:ascii="Overpass" w:eastAsia="Times New Roman" w:hAnsi="Overpass" w:cs="Calibri"/>
                <w:color w:val="212121"/>
                <w:lang w:eastAsia="it-IT"/>
              </w:rPr>
              <w:t>Income tax (expense) benefit</w:t>
            </w:r>
          </w:p>
        </w:tc>
        <w:tc>
          <w:tcPr>
            <w:tcW w:w="2665" w:type="dxa"/>
            <w:tcBorders>
              <w:bottom w:val="single" w:sz="8" w:space="0" w:color="000000"/>
            </w:tcBorders>
            <w:tcMar>
              <w:top w:w="15" w:type="dxa"/>
              <w:left w:w="15" w:type="dxa"/>
              <w:bottom w:w="15" w:type="dxa"/>
              <w:right w:w="0" w:type="dxa"/>
            </w:tcMar>
            <w:vAlign w:val="bottom"/>
            <w:hideMark/>
          </w:tcPr>
          <w:p w14:paraId="0CC103B7" w14:textId="77777777" w:rsidR="006E0488" w:rsidRPr="006E0488" w:rsidRDefault="006E0488" w:rsidP="006E0488">
            <w:pPr>
              <w:shd w:val="clear" w:color="auto" w:fill="FFFFFF"/>
              <w:spacing w:after="0" w:line="240" w:lineRule="auto"/>
              <w:jc w:val="right"/>
              <w:rPr>
                <w:rFonts w:ascii="Overpass" w:eastAsia="Times New Roman" w:hAnsi="Overpass" w:cs="Calibri"/>
                <w:color w:val="212121"/>
                <w:lang w:eastAsia="it-IT"/>
              </w:rPr>
            </w:pPr>
            <w:r w:rsidRPr="006E0488">
              <w:rPr>
                <w:rFonts w:ascii="Overpass" w:eastAsia="Times New Roman" w:hAnsi="Overpass" w:cs="Calibri"/>
                <w:color w:val="212121"/>
                <w:lang w:eastAsia="it-IT"/>
              </w:rPr>
              <w:t>(142)</w:t>
            </w:r>
          </w:p>
        </w:tc>
        <w:tc>
          <w:tcPr>
            <w:tcW w:w="0" w:type="auto"/>
            <w:vAlign w:val="bottom"/>
            <w:hideMark/>
          </w:tcPr>
          <w:p w14:paraId="63B8312F" w14:textId="77777777" w:rsidR="006E0488" w:rsidRPr="006E0488" w:rsidRDefault="006E0488" w:rsidP="006E0488">
            <w:pPr>
              <w:shd w:val="clear" w:color="auto" w:fill="FFFFFF"/>
              <w:spacing w:after="0" w:line="240" w:lineRule="auto"/>
              <w:jc w:val="right"/>
              <w:rPr>
                <w:rFonts w:ascii="Overpass" w:eastAsia="Times New Roman" w:hAnsi="Overpass" w:cs="Calibri"/>
                <w:color w:val="212121"/>
                <w:lang w:eastAsia="it-IT"/>
              </w:rPr>
            </w:pPr>
            <w:r w:rsidRPr="006E0488">
              <w:rPr>
                <w:rFonts w:ascii="Overpass" w:eastAsia="Times New Roman" w:hAnsi="Overpass" w:cs="Calibri"/>
                <w:color w:val="212121"/>
                <w:lang w:eastAsia="it-IT"/>
              </w:rPr>
              <w:t> </w:t>
            </w:r>
          </w:p>
        </w:tc>
        <w:tc>
          <w:tcPr>
            <w:tcW w:w="2213" w:type="dxa"/>
            <w:tcBorders>
              <w:bottom w:val="single" w:sz="8" w:space="0" w:color="000000"/>
            </w:tcBorders>
            <w:tcMar>
              <w:top w:w="15" w:type="dxa"/>
              <w:left w:w="15" w:type="dxa"/>
              <w:bottom w:w="15" w:type="dxa"/>
              <w:right w:w="0" w:type="dxa"/>
            </w:tcMar>
            <w:vAlign w:val="bottom"/>
            <w:hideMark/>
          </w:tcPr>
          <w:p w14:paraId="2C43D0A3" w14:textId="77777777" w:rsidR="006E0488" w:rsidRPr="006E0488" w:rsidRDefault="006E0488" w:rsidP="006E0488">
            <w:pPr>
              <w:shd w:val="clear" w:color="auto" w:fill="FFFFFF"/>
              <w:spacing w:after="0" w:line="240" w:lineRule="auto"/>
              <w:jc w:val="right"/>
              <w:rPr>
                <w:rFonts w:ascii="Overpass" w:eastAsia="Times New Roman" w:hAnsi="Overpass" w:cs="Calibri"/>
                <w:color w:val="212121"/>
                <w:lang w:eastAsia="it-IT"/>
              </w:rPr>
            </w:pPr>
            <w:r w:rsidRPr="006E0488">
              <w:rPr>
                <w:rFonts w:ascii="Overpass" w:eastAsia="Times New Roman" w:hAnsi="Overpass" w:cs="Calibri"/>
                <w:color w:val="212121"/>
                <w:lang w:eastAsia="it-IT"/>
              </w:rPr>
              <w:t>89</w:t>
            </w:r>
          </w:p>
        </w:tc>
      </w:tr>
      <w:tr w:rsidR="006E0488" w:rsidRPr="006E0488" w14:paraId="04CE274D" w14:textId="77777777" w:rsidTr="006E0488">
        <w:tc>
          <w:tcPr>
            <w:tcW w:w="4253" w:type="dxa"/>
            <w:vAlign w:val="bottom"/>
            <w:hideMark/>
          </w:tcPr>
          <w:p w14:paraId="7DB096C5" w14:textId="77777777" w:rsidR="006E0488" w:rsidRPr="006E0488" w:rsidRDefault="006E0488" w:rsidP="006E0488">
            <w:pPr>
              <w:shd w:val="clear" w:color="auto" w:fill="FFFFFF"/>
              <w:spacing w:after="0" w:line="240" w:lineRule="auto"/>
              <w:jc w:val="both"/>
              <w:rPr>
                <w:rFonts w:ascii="Overpass" w:eastAsia="Times New Roman" w:hAnsi="Overpass" w:cs="Calibri"/>
                <w:color w:val="212121"/>
                <w:lang w:eastAsia="it-IT"/>
              </w:rPr>
            </w:pPr>
            <w:r w:rsidRPr="006E0488">
              <w:rPr>
                <w:rFonts w:ascii="Overpass" w:eastAsia="Times New Roman" w:hAnsi="Overpass" w:cs="Calibri"/>
                <w:b/>
                <w:bCs/>
                <w:color w:val="212121"/>
                <w:lang w:eastAsia="it-IT"/>
              </w:rPr>
              <w:t>Net loss</w:t>
            </w:r>
          </w:p>
        </w:tc>
        <w:tc>
          <w:tcPr>
            <w:tcW w:w="2665" w:type="dxa"/>
            <w:tcBorders>
              <w:bottom w:val="double" w:sz="6" w:space="0" w:color="000000"/>
            </w:tcBorders>
            <w:tcMar>
              <w:top w:w="15" w:type="dxa"/>
              <w:left w:w="15" w:type="dxa"/>
              <w:bottom w:w="15" w:type="dxa"/>
              <w:right w:w="0" w:type="dxa"/>
            </w:tcMar>
            <w:vAlign w:val="bottom"/>
            <w:hideMark/>
          </w:tcPr>
          <w:p w14:paraId="7A94F84D" w14:textId="77777777" w:rsidR="006E0488" w:rsidRPr="006E0488" w:rsidRDefault="006E0488" w:rsidP="006E0488">
            <w:pPr>
              <w:shd w:val="clear" w:color="auto" w:fill="FFFFFF"/>
              <w:spacing w:after="0" w:line="240" w:lineRule="auto"/>
              <w:jc w:val="right"/>
              <w:rPr>
                <w:rFonts w:ascii="Overpass" w:eastAsia="Times New Roman" w:hAnsi="Overpass" w:cs="Calibri"/>
                <w:color w:val="212121"/>
                <w:lang w:eastAsia="it-IT"/>
              </w:rPr>
            </w:pPr>
            <w:r w:rsidRPr="006E0488">
              <w:rPr>
                <w:rFonts w:ascii="Overpass" w:eastAsia="Times New Roman" w:hAnsi="Overpass" w:cs="Calibri"/>
                <w:b/>
                <w:bCs/>
                <w:color w:val="212121"/>
                <w:lang w:eastAsia="it-IT"/>
              </w:rPr>
              <w:t>(258,225)</w:t>
            </w:r>
          </w:p>
        </w:tc>
        <w:tc>
          <w:tcPr>
            <w:tcW w:w="0" w:type="auto"/>
            <w:vAlign w:val="bottom"/>
            <w:hideMark/>
          </w:tcPr>
          <w:p w14:paraId="4006A207" w14:textId="77777777" w:rsidR="006E0488" w:rsidRPr="006E0488" w:rsidRDefault="006E0488" w:rsidP="006E0488">
            <w:pPr>
              <w:shd w:val="clear" w:color="auto" w:fill="FFFFFF"/>
              <w:spacing w:after="0" w:line="240" w:lineRule="auto"/>
              <w:jc w:val="right"/>
              <w:rPr>
                <w:rFonts w:ascii="Overpass" w:eastAsia="Times New Roman" w:hAnsi="Overpass" w:cs="Calibri"/>
                <w:color w:val="212121"/>
                <w:lang w:eastAsia="it-IT"/>
              </w:rPr>
            </w:pPr>
            <w:r w:rsidRPr="006E0488">
              <w:rPr>
                <w:rFonts w:ascii="Overpass" w:eastAsia="Times New Roman" w:hAnsi="Overpass" w:cs="Calibri"/>
                <w:color w:val="212121"/>
                <w:lang w:eastAsia="it-IT"/>
              </w:rPr>
              <w:t> </w:t>
            </w:r>
          </w:p>
        </w:tc>
        <w:tc>
          <w:tcPr>
            <w:tcW w:w="2213" w:type="dxa"/>
            <w:tcBorders>
              <w:bottom w:val="double" w:sz="6" w:space="0" w:color="000000"/>
            </w:tcBorders>
            <w:tcMar>
              <w:top w:w="15" w:type="dxa"/>
              <w:left w:w="15" w:type="dxa"/>
              <w:bottom w:w="15" w:type="dxa"/>
              <w:right w:w="0" w:type="dxa"/>
            </w:tcMar>
            <w:vAlign w:val="bottom"/>
            <w:hideMark/>
          </w:tcPr>
          <w:p w14:paraId="5982AA5A" w14:textId="77777777" w:rsidR="006E0488" w:rsidRPr="006E0488" w:rsidRDefault="006E0488" w:rsidP="006E0488">
            <w:pPr>
              <w:shd w:val="clear" w:color="auto" w:fill="FFFFFF"/>
              <w:spacing w:after="0" w:line="240" w:lineRule="auto"/>
              <w:jc w:val="right"/>
              <w:rPr>
                <w:rFonts w:ascii="Overpass" w:eastAsia="Times New Roman" w:hAnsi="Overpass" w:cs="Calibri"/>
                <w:color w:val="212121"/>
                <w:lang w:eastAsia="it-IT"/>
              </w:rPr>
            </w:pPr>
            <w:r w:rsidRPr="006E0488">
              <w:rPr>
                <w:rFonts w:ascii="Overpass" w:eastAsia="Times New Roman" w:hAnsi="Overpass" w:cs="Calibri"/>
                <w:b/>
                <w:bCs/>
                <w:color w:val="212121"/>
                <w:lang w:eastAsia="it-IT"/>
              </w:rPr>
              <w:t>(159,575)</w:t>
            </w:r>
          </w:p>
        </w:tc>
      </w:tr>
      <w:tr w:rsidR="006E0488" w:rsidRPr="006E0488" w14:paraId="56FCC468" w14:textId="77777777" w:rsidTr="006E0488">
        <w:tc>
          <w:tcPr>
            <w:tcW w:w="4253" w:type="dxa"/>
            <w:vAlign w:val="bottom"/>
            <w:hideMark/>
          </w:tcPr>
          <w:p w14:paraId="73C657F6" w14:textId="77777777" w:rsidR="006E0488" w:rsidRPr="006E0488" w:rsidRDefault="006E0488" w:rsidP="006E0488">
            <w:pPr>
              <w:shd w:val="clear" w:color="auto" w:fill="FFFFFF"/>
              <w:spacing w:after="0" w:line="240" w:lineRule="auto"/>
              <w:jc w:val="both"/>
              <w:rPr>
                <w:rFonts w:ascii="Overpass" w:eastAsia="Times New Roman" w:hAnsi="Overpass" w:cs="Calibri"/>
                <w:color w:val="212121"/>
                <w:lang w:eastAsia="it-IT"/>
              </w:rPr>
            </w:pPr>
            <w:r w:rsidRPr="006E0488">
              <w:rPr>
                <w:rFonts w:ascii="Overpass" w:eastAsia="Times New Roman" w:hAnsi="Overpass" w:cs="Calibri"/>
                <w:color w:val="212121"/>
                <w:lang w:eastAsia="it-IT"/>
              </w:rPr>
              <w:t>Less: Net loss attributable to noncontrolling interests</w:t>
            </w:r>
          </w:p>
        </w:tc>
        <w:tc>
          <w:tcPr>
            <w:tcW w:w="2665" w:type="dxa"/>
            <w:tcBorders>
              <w:bottom w:val="single" w:sz="8" w:space="0" w:color="000000"/>
            </w:tcBorders>
            <w:tcMar>
              <w:top w:w="15" w:type="dxa"/>
              <w:left w:w="15" w:type="dxa"/>
              <w:bottom w:w="15" w:type="dxa"/>
              <w:right w:w="0" w:type="dxa"/>
            </w:tcMar>
            <w:vAlign w:val="bottom"/>
            <w:hideMark/>
          </w:tcPr>
          <w:p w14:paraId="1B2971E7" w14:textId="77777777" w:rsidR="006E0488" w:rsidRPr="006E0488" w:rsidRDefault="006E0488" w:rsidP="006E0488">
            <w:pPr>
              <w:shd w:val="clear" w:color="auto" w:fill="FFFFFF"/>
              <w:spacing w:after="0" w:line="240" w:lineRule="auto"/>
              <w:jc w:val="right"/>
              <w:rPr>
                <w:rFonts w:ascii="Overpass" w:eastAsia="Times New Roman" w:hAnsi="Overpass" w:cs="Calibri"/>
                <w:color w:val="212121"/>
                <w:lang w:eastAsia="it-IT"/>
              </w:rPr>
            </w:pPr>
            <w:r w:rsidRPr="006E0488">
              <w:rPr>
                <w:rFonts w:ascii="Overpass" w:eastAsia="Times New Roman" w:hAnsi="Overpass" w:cs="Calibri"/>
                <w:color w:val="212121"/>
                <w:lang w:eastAsia="it-IT"/>
              </w:rPr>
              <w:t>(356)</w:t>
            </w:r>
          </w:p>
        </w:tc>
        <w:tc>
          <w:tcPr>
            <w:tcW w:w="0" w:type="auto"/>
            <w:vAlign w:val="bottom"/>
            <w:hideMark/>
          </w:tcPr>
          <w:p w14:paraId="20037639" w14:textId="77777777" w:rsidR="006E0488" w:rsidRPr="006E0488" w:rsidRDefault="006E0488" w:rsidP="006E0488">
            <w:pPr>
              <w:shd w:val="clear" w:color="auto" w:fill="FFFFFF"/>
              <w:spacing w:after="0" w:line="240" w:lineRule="auto"/>
              <w:jc w:val="right"/>
              <w:rPr>
                <w:rFonts w:ascii="Overpass" w:eastAsia="Times New Roman" w:hAnsi="Overpass" w:cs="Calibri"/>
                <w:color w:val="212121"/>
                <w:lang w:eastAsia="it-IT"/>
              </w:rPr>
            </w:pPr>
            <w:r w:rsidRPr="006E0488">
              <w:rPr>
                <w:rFonts w:ascii="Overpass" w:eastAsia="Times New Roman" w:hAnsi="Overpass" w:cs="Calibri"/>
                <w:color w:val="212121"/>
                <w:lang w:eastAsia="it-IT"/>
              </w:rPr>
              <w:t> </w:t>
            </w:r>
          </w:p>
        </w:tc>
        <w:tc>
          <w:tcPr>
            <w:tcW w:w="2213" w:type="dxa"/>
            <w:tcBorders>
              <w:bottom w:val="single" w:sz="8" w:space="0" w:color="000000"/>
            </w:tcBorders>
            <w:tcMar>
              <w:top w:w="15" w:type="dxa"/>
              <w:left w:w="15" w:type="dxa"/>
              <w:bottom w:w="15" w:type="dxa"/>
              <w:right w:w="0" w:type="dxa"/>
            </w:tcMar>
            <w:vAlign w:val="bottom"/>
            <w:hideMark/>
          </w:tcPr>
          <w:p w14:paraId="3FDB313D" w14:textId="77777777" w:rsidR="006E0488" w:rsidRPr="006E0488" w:rsidRDefault="006E0488" w:rsidP="006E0488">
            <w:pPr>
              <w:shd w:val="clear" w:color="auto" w:fill="FFFFFF"/>
              <w:spacing w:after="0" w:line="240" w:lineRule="auto"/>
              <w:jc w:val="right"/>
              <w:rPr>
                <w:rFonts w:ascii="Overpass" w:eastAsia="Times New Roman" w:hAnsi="Overpass" w:cs="Calibri"/>
                <w:color w:val="212121"/>
                <w:lang w:eastAsia="it-IT"/>
              </w:rPr>
            </w:pPr>
            <w:r w:rsidRPr="006E0488">
              <w:rPr>
                <w:rFonts w:ascii="Overpass" w:eastAsia="Times New Roman" w:hAnsi="Overpass" w:cs="Calibri"/>
                <w:color w:val="212121"/>
                <w:lang w:eastAsia="it-IT"/>
              </w:rPr>
              <w:t>(1,918)</w:t>
            </w:r>
          </w:p>
        </w:tc>
      </w:tr>
      <w:tr w:rsidR="006E0488" w:rsidRPr="006E0488" w14:paraId="2150E43D" w14:textId="77777777" w:rsidTr="006E0488">
        <w:tc>
          <w:tcPr>
            <w:tcW w:w="4253" w:type="dxa"/>
            <w:vAlign w:val="bottom"/>
            <w:hideMark/>
          </w:tcPr>
          <w:p w14:paraId="3A079C0E" w14:textId="77777777" w:rsidR="006E0488" w:rsidRPr="006E0488" w:rsidRDefault="006E0488" w:rsidP="006E0488">
            <w:pPr>
              <w:shd w:val="clear" w:color="auto" w:fill="FFFFFF"/>
              <w:spacing w:after="0" w:line="240" w:lineRule="auto"/>
              <w:jc w:val="both"/>
              <w:rPr>
                <w:rFonts w:ascii="Overpass" w:eastAsia="Times New Roman" w:hAnsi="Overpass" w:cs="Calibri"/>
                <w:color w:val="212121"/>
                <w:lang w:eastAsia="it-IT"/>
              </w:rPr>
            </w:pPr>
            <w:r w:rsidRPr="006E0488">
              <w:rPr>
                <w:rFonts w:ascii="Overpass" w:eastAsia="Times New Roman" w:hAnsi="Overpass" w:cs="Calibri"/>
                <w:b/>
                <w:bCs/>
                <w:color w:val="212121"/>
                <w:lang w:eastAsia="it-IT"/>
              </w:rPr>
              <w:t>Net loss attributable to ordinary shareholders</w:t>
            </w:r>
          </w:p>
        </w:tc>
        <w:tc>
          <w:tcPr>
            <w:tcW w:w="2665" w:type="dxa"/>
            <w:tcBorders>
              <w:bottom w:val="double" w:sz="6" w:space="0" w:color="000000"/>
            </w:tcBorders>
            <w:tcMar>
              <w:top w:w="15" w:type="dxa"/>
              <w:left w:w="15" w:type="dxa"/>
              <w:bottom w:w="15" w:type="dxa"/>
              <w:right w:w="0" w:type="dxa"/>
            </w:tcMar>
            <w:vAlign w:val="bottom"/>
            <w:hideMark/>
          </w:tcPr>
          <w:p w14:paraId="50FA897F" w14:textId="77777777" w:rsidR="006E0488" w:rsidRPr="006E0488" w:rsidRDefault="006E0488" w:rsidP="006E0488">
            <w:pPr>
              <w:shd w:val="clear" w:color="auto" w:fill="FFFFFF"/>
              <w:spacing w:after="0" w:line="240" w:lineRule="auto"/>
              <w:jc w:val="right"/>
              <w:rPr>
                <w:rFonts w:ascii="Overpass" w:eastAsia="Times New Roman" w:hAnsi="Overpass" w:cs="Calibri"/>
                <w:color w:val="212121"/>
                <w:lang w:eastAsia="it-IT"/>
              </w:rPr>
            </w:pPr>
            <w:r w:rsidRPr="006E0488">
              <w:rPr>
                <w:rFonts w:ascii="Overpass" w:eastAsia="Times New Roman" w:hAnsi="Overpass" w:cs="Calibri"/>
                <w:b/>
                <w:bCs/>
                <w:color w:val="212121"/>
                <w:lang w:eastAsia="it-IT"/>
              </w:rPr>
              <w:t>(257,869)</w:t>
            </w:r>
          </w:p>
        </w:tc>
        <w:tc>
          <w:tcPr>
            <w:tcW w:w="0" w:type="auto"/>
            <w:vAlign w:val="bottom"/>
            <w:hideMark/>
          </w:tcPr>
          <w:p w14:paraId="3679A0C2" w14:textId="77777777" w:rsidR="006E0488" w:rsidRPr="006E0488" w:rsidRDefault="006E0488" w:rsidP="006E0488">
            <w:pPr>
              <w:shd w:val="clear" w:color="auto" w:fill="FFFFFF"/>
              <w:spacing w:after="0" w:line="240" w:lineRule="auto"/>
              <w:jc w:val="right"/>
              <w:rPr>
                <w:rFonts w:ascii="Overpass" w:eastAsia="Times New Roman" w:hAnsi="Overpass" w:cs="Calibri"/>
                <w:color w:val="212121"/>
                <w:lang w:eastAsia="it-IT"/>
              </w:rPr>
            </w:pPr>
            <w:r w:rsidRPr="006E0488">
              <w:rPr>
                <w:rFonts w:ascii="Overpass" w:eastAsia="Times New Roman" w:hAnsi="Overpass" w:cs="Calibri"/>
                <w:color w:val="212121"/>
                <w:lang w:eastAsia="it-IT"/>
              </w:rPr>
              <w:t> </w:t>
            </w:r>
          </w:p>
        </w:tc>
        <w:tc>
          <w:tcPr>
            <w:tcW w:w="2213" w:type="dxa"/>
            <w:tcBorders>
              <w:bottom w:val="double" w:sz="6" w:space="0" w:color="000000"/>
            </w:tcBorders>
            <w:tcMar>
              <w:top w:w="15" w:type="dxa"/>
              <w:left w:w="15" w:type="dxa"/>
              <w:bottom w:w="15" w:type="dxa"/>
              <w:right w:w="0" w:type="dxa"/>
            </w:tcMar>
            <w:vAlign w:val="bottom"/>
            <w:hideMark/>
          </w:tcPr>
          <w:p w14:paraId="73190139" w14:textId="77777777" w:rsidR="006E0488" w:rsidRPr="006E0488" w:rsidRDefault="006E0488" w:rsidP="006E0488">
            <w:pPr>
              <w:shd w:val="clear" w:color="auto" w:fill="FFFFFF"/>
              <w:spacing w:after="0" w:line="240" w:lineRule="auto"/>
              <w:jc w:val="right"/>
              <w:rPr>
                <w:rFonts w:ascii="Overpass" w:eastAsia="Times New Roman" w:hAnsi="Overpass" w:cs="Calibri"/>
                <w:color w:val="212121"/>
                <w:lang w:eastAsia="it-IT"/>
              </w:rPr>
            </w:pPr>
            <w:r w:rsidRPr="006E0488">
              <w:rPr>
                <w:rFonts w:ascii="Overpass" w:eastAsia="Times New Roman" w:hAnsi="Overpass" w:cs="Calibri"/>
                <w:b/>
                <w:bCs/>
                <w:color w:val="212121"/>
                <w:lang w:eastAsia="it-IT"/>
              </w:rPr>
              <w:t>(157,657)</w:t>
            </w:r>
          </w:p>
        </w:tc>
      </w:tr>
      <w:tr w:rsidR="006E0488" w:rsidRPr="006E0488" w14:paraId="0D5CF54D" w14:textId="77777777" w:rsidTr="006E0488">
        <w:tc>
          <w:tcPr>
            <w:tcW w:w="4253" w:type="dxa"/>
            <w:vAlign w:val="bottom"/>
            <w:hideMark/>
          </w:tcPr>
          <w:p w14:paraId="3750CDA7" w14:textId="77777777" w:rsidR="006E0488" w:rsidRPr="006E0488" w:rsidRDefault="006E0488" w:rsidP="006E0488">
            <w:pPr>
              <w:shd w:val="clear" w:color="auto" w:fill="FFFFFF"/>
              <w:spacing w:after="0" w:line="240" w:lineRule="auto"/>
              <w:jc w:val="both"/>
              <w:rPr>
                <w:rFonts w:ascii="Overpass" w:eastAsia="Times New Roman" w:hAnsi="Overpass" w:cs="Calibri"/>
                <w:color w:val="212121"/>
                <w:lang w:eastAsia="it-IT"/>
              </w:rPr>
            </w:pPr>
            <w:r w:rsidRPr="006E0488">
              <w:rPr>
                <w:rFonts w:ascii="Overpass" w:eastAsia="Times New Roman" w:hAnsi="Overpass" w:cs="Calibri"/>
                <w:color w:val="212121"/>
                <w:lang w:eastAsia="it-IT"/>
              </w:rPr>
              <w:t>Accretion of Redeemable Convertible Preferred Shares</w:t>
            </w:r>
          </w:p>
        </w:tc>
        <w:tc>
          <w:tcPr>
            <w:tcW w:w="2665" w:type="dxa"/>
            <w:tcBorders>
              <w:bottom w:val="single" w:sz="8" w:space="0" w:color="000000"/>
            </w:tcBorders>
            <w:tcMar>
              <w:top w:w="15" w:type="dxa"/>
              <w:left w:w="15" w:type="dxa"/>
              <w:bottom w:w="15" w:type="dxa"/>
              <w:right w:w="0" w:type="dxa"/>
            </w:tcMar>
            <w:vAlign w:val="bottom"/>
            <w:hideMark/>
          </w:tcPr>
          <w:p w14:paraId="31EE632D" w14:textId="77777777" w:rsidR="006E0488" w:rsidRPr="006E0488" w:rsidRDefault="006E0488" w:rsidP="006E0488">
            <w:pPr>
              <w:shd w:val="clear" w:color="auto" w:fill="FFFFFF"/>
              <w:spacing w:after="0" w:line="240" w:lineRule="auto"/>
              <w:jc w:val="right"/>
              <w:rPr>
                <w:rFonts w:ascii="Overpass" w:eastAsia="Times New Roman" w:hAnsi="Overpass" w:cs="Calibri"/>
                <w:color w:val="212121"/>
                <w:lang w:eastAsia="it-IT"/>
              </w:rPr>
            </w:pPr>
            <w:r w:rsidRPr="006E0488">
              <w:rPr>
                <w:rFonts w:ascii="Overpass" w:eastAsia="Times New Roman" w:hAnsi="Overpass" w:cs="Calibri"/>
                <w:color w:val="212121"/>
                <w:lang w:eastAsia="it-IT"/>
              </w:rPr>
              <w:t>(2,979)</w:t>
            </w:r>
          </w:p>
        </w:tc>
        <w:tc>
          <w:tcPr>
            <w:tcW w:w="0" w:type="auto"/>
            <w:vAlign w:val="bottom"/>
            <w:hideMark/>
          </w:tcPr>
          <w:p w14:paraId="215F7138" w14:textId="77777777" w:rsidR="006E0488" w:rsidRPr="006E0488" w:rsidRDefault="006E0488" w:rsidP="006E0488">
            <w:pPr>
              <w:shd w:val="clear" w:color="auto" w:fill="FFFFFF"/>
              <w:spacing w:after="0" w:line="240" w:lineRule="auto"/>
              <w:jc w:val="right"/>
              <w:rPr>
                <w:rFonts w:ascii="Overpass" w:eastAsia="Times New Roman" w:hAnsi="Overpass" w:cs="Calibri"/>
                <w:color w:val="212121"/>
                <w:lang w:eastAsia="it-IT"/>
              </w:rPr>
            </w:pPr>
            <w:r w:rsidRPr="006E0488">
              <w:rPr>
                <w:rFonts w:ascii="Overpass" w:eastAsia="Times New Roman" w:hAnsi="Overpass" w:cs="Calibri"/>
                <w:color w:val="212121"/>
                <w:lang w:eastAsia="it-IT"/>
              </w:rPr>
              <w:t> </w:t>
            </w:r>
          </w:p>
        </w:tc>
        <w:tc>
          <w:tcPr>
            <w:tcW w:w="2213" w:type="dxa"/>
            <w:tcBorders>
              <w:bottom w:val="single" w:sz="8" w:space="0" w:color="000000"/>
            </w:tcBorders>
            <w:tcMar>
              <w:top w:w="15" w:type="dxa"/>
              <w:left w:w="15" w:type="dxa"/>
              <w:bottom w:w="15" w:type="dxa"/>
              <w:right w:w="0" w:type="dxa"/>
            </w:tcMar>
            <w:vAlign w:val="bottom"/>
            <w:hideMark/>
          </w:tcPr>
          <w:p w14:paraId="658729D6" w14:textId="77777777" w:rsidR="006E0488" w:rsidRPr="006E0488" w:rsidRDefault="006E0488" w:rsidP="006E0488">
            <w:pPr>
              <w:shd w:val="clear" w:color="auto" w:fill="FFFFFF"/>
              <w:spacing w:after="0" w:line="240" w:lineRule="auto"/>
              <w:jc w:val="right"/>
              <w:rPr>
                <w:rFonts w:ascii="Overpass" w:eastAsia="Times New Roman" w:hAnsi="Overpass" w:cs="Calibri"/>
                <w:color w:val="212121"/>
                <w:lang w:eastAsia="it-IT"/>
              </w:rPr>
            </w:pPr>
            <w:r w:rsidRPr="006E0488">
              <w:rPr>
                <w:rFonts w:ascii="Overpass" w:eastAsia="Times New Roman" w:hAnsi="Overpass" w:cs="Calibri"/>
                <w:color w:val="212121"/>
                <w:lang w:eastAsia="it-IT"/>
              </w:rPr>
              <w:t>(7,248)</w:t>
            </w:r>
          </w:p>
        </w:tc>
      </w:tr>
      <w:tr w:rsidR="006E0488" w:rsidRPr="006E0488" w14:paraId="13788B1B" w14:textId="77777777" w:rsidTr="006E0488">
        <w:tc>
          <w:tcPr>
            <w:tcW w:w="4253" w:type="dxa"/>
            <w:vAlign w:val="bottom"/>
            <w:hideMark/>
          </w:tcPr>
          <w:p w14:paraId="423B366E" w14:textId="77777777" w:rsidR="006E0488" w:rsidRPr="006E0488" w:rsidRDefault="006E0488" w:rsidP="006E0488">
            <w:pPr>
              <w:shd w:val="clear" w:color="auto" w:fill="FFFFFF"/>
              <w:spacing w:after="0" w:line="240" w:lineRule="auto"/>
              <w:jc w:val="both"/>
              <w:rPr>
                <w:rFonts w:ascii="Overpass" w:eastAsia="Times New Roman" w:hAnsi="Overpass" w:cs="Calibri"/>
                <w:color w:val="212121"/>
                <w:lang w:eastAsia="it-IT"/>
              </w:rPr>
            </w:pPr>
            <w:r w:rsidRPr="006E0488">
              <w:rPr>
                <w:rFonts w:ascii="Overpass" w:eastAsia="Times New Roman" w:hAnsi="Overpass" w:cs="Calibri"/>
                <w:b/>
                <w:bCs/>
                <w:color w:val="212121"/>
                <w:lang w:eastAsia="it-IT"/>
              </w:rPr>
              <w:t>Net loss available to ordinary shareholders</w:t>
            </w:r>
          </w:p>
        </w:tc>
        <w:tc>
          <w:tcPr>
            <w:tcW w:w="2665" w:type="dxa"/>
            <w:tcBorders>
              <w:bottom w:val="double" w:sz="6" w:space="0" w:color="000000"/>
            </w:tcBorders>
            <w:tcMar>
              <w:top w:w="15" w:type="dxa"/>
              <w:left w:w="15" w:type="dxa"/>
              <w:bottom w:w="15" w:type="dxa"/>
              <w:right w:w="0" w:type="dxa"/>
            </w:tcMar>
            <w:vAlign w:val="bottom"/>
            <w:hideMark/>
          </w:tcPr>
          <w:p w14:paraId="74A40149" w14:textId="77777777" w:rsidR="006E0488" w:rsidRPr="006E0488" w:rsidRDefault="006E0488" w:rsidP="006E0488">
            <w:pPr>
              <w:shd w:val="clear" w:color="auto" w:fill="FFFFFF"/>
              <w:spacing w:after="0" w:line="240" w:lineRule="auto"/>
              <w:jc w:val="right"/>
              <w:rPr>
                <w:rFonts w:ascii="Overpass" w:eastAsia="Times New Roman" w:hAnsi="Overpass" w:cs="Calibri"/>
                <w:color w:val="212121"/>
                <w:lang w:eastAsia="it-IT"/>
              </w:rPr>
            </w:pPr>
            <w:r w:rsidRPr="006E0488">
              <w:rPr>
                <w:rFonts w:ascii="Overpass" w:eastAsia="Times New Roman" w:hAnsi="Overpass" w:cs="Calibri"/>
                <w:b/>
                <w:bCs/>
                <w:color w:val="212121"/>
                <w:lang w:eastAsia="it-IT"/>
              </w:rPr>
              <w:t>(260,848)</w:t>
            </w:r>
          </w:p>
        </w:tc>
        <w:tc>
          <w:tcPr>
            <w:tcW w:w="0" w:type="auto"/>
            <w:vAlign w:val="bottom"/>
            <w:hideMark/>
          </w:tcPr>
          <w:p w14:paraId="52D239DD" w14:textId="77777777" w:rsidR="006E0488" w:rsidRPr="006E0488" w:rsidRDefault="006E0488" w:rsidP="006E0488">
            <w:pPr>
              <w:shd w:val="clear" w:color="auto" w:fill="FFFFFF"/>
              <w:spacing w:after="0" w:line="240" w:lineRule="auto"/>
              <w:jc w:val="right"/>
              <w:rPr>
                <w:rFonts w:ascii="Overpass" w:eastAsia="Times New Roman" w:hAnsi="Overpass" w:cs="Calibri"/>
                <w:color w:val="212121"/>
                <w:lang w:eastAsia="it-IT"/>
              </w:rPr>
            </w:pPr>
            <w:r w:rsidRPr="006E0488">
              <w:rPr>
                <w:rFonts w:ascii="Overpass" w:eastAsia="Times New Roman" w:hAnsi="Overpass" w:cs="Calibri"/>
                <w:color w:val="212121"/>
                <w:lang w:eastAsia="it-IT"/>
              </w:rPr>
              <w:t> </w:t>
            </w:r>
          </w:p>
        </w:tc>
        <w:tc>
          <w:tcPr>
            <w:tcW w:w="2213" w:type="dxa"/>
            <w:tcBorders>
              <w:bottom w:val="double" w:sz="6" w:space="0" w:color="000000"/>
            </w:tcBorders>
            <w:tcMar>
              <w:top w:w="15" w:type="dxa"/>
              <w:left w:w="15" w:type="dxa"/>
              <w:bottom w:w="15" w:type="dxa"/>
              <w:right w:w="0" w:type="dxa"/>
            </w:tcMar>
            <w:vAlign w:val="bottom"/>
            <w:hideMark/>
          </w:tcPr>
          <w:p w14:paraId="6602C626" w14:textId="77777777" w:rsidR="006E0488" w:rsidRPr="006E0488" w:rsidRDefault="006E0488" w:rsidP="006E0488">
            <w:pPr>
              <w:shd w:val="clear" w:color="auto" w:fill="FFFFFF"/>
              <w:spacing w:after="0" w:line="240" w:lineRule="auto"/>
              <w:jc w:val="right"/>
              <w:rPr>
                <w:rFonts w:ascii="Overpass" w:eastAsia="Times New Roman" w:hAnsi="Overpass" w:cs="Calibri"/>
                <w:color w:val="212121"/>
                <w:lang w:eastAsia="it-IT"/>
              </w:rPr>
            </w:pPr>
            <w:r w:rsidRPr="006E0488">
              <w:rPr>
                <w:rFonts w:ascii="Overpass" w:eastAsia="Times New Roman" w:hAnsi="Overpass" w:cs="Calibri"/>
                <w:b/>
                <w:bCs/>
                <w:color w:val="212121"/>
                <w:lang w:eastAsia="it-IT"/>
              </w:rPr>
              <w:t>(164,905)</w:t>
            </w:r>
          </w:p>
        </w:tc>
      </w:tr>
      <w:tr w:rsidR="006E0488" w:rsidRPr="006E0488" w14:paraId="5572A3F5" w14:textId="77777777" w:rsidTr="006E0488">
        <w:tc>
          <w:tcPr>
            <w:tcW w:w="4253" w:type="dxa"/>
            <w:vAlign w:val="bottom"/>
            <w:hideMark/>
          </w:tcPr>
          <w:p w14:paraId="127D427C" w14:textId="77777777" w:rsidR="006E0488" w:rsidRPr="006E0488" w:rsidRDefault="006E0488" w:rsidP="006E0488">
            <w:pPr>
              <w:shd w:val="clear" w:color="auto" w:fill="FFFFFF"/>
              <w:spacing w:after="0" w:line="240" w:lineRule="auto"/>
              <w:jc w:val="both"/>
              <w:rPr>
                <w:rFonts w:ascii="Overpass" w:eastAsia="Times New Roman" w:hAnsi="Overpass" w:cs="Calibri"/>
                <w:color w:val="212121"/>
                <w:lang w:eastAsia="it-IT"/>
              </w:rPr>
            </w:pPr>
            <w:r w:rsidRPr="006E0488">
              <w:rPr>
                <w:rFonts w:ascii="Overpass" w:eastAsia="Times New Roman" w:hAnsi="Overpass" w:cs="Calibri"/>
                <w:b/>
                <w:bCs/>
                <w:color w:val="212121"/>
                <w:lang w:eastAsia="it-IT"/>
              </w:rPr>
              <w:t>Loss per ordinary share</w:t>
            </w:r>
          </w:p>
        </w:tc>
        <w:tc>
          <w:tcPr>
            <w:tcW w:w="2665" w:type="dxa"/>
            <w:vAlign w:val="bottom"/>
            <w:hideMark/>
          </w:tcPr>
          <w:p w14:paraId="6A6C40F2" w14:textId="77777777" w:rsidR="006E0488" w:rsidRPr="006E0488" w:rsidRDefault="006E0488" w:rsidP="006E0488">
            <w:pPr>
              <w:shd w:val="clear" w:color="auto" w:fill="FFFFFF"/>
              <w:spacing w:after="0" w:line="240" w:lineRule="auto"/>
              <w:jc w:val="right"/>
              <w:rPr>
                <w:rFonts w:ascii="Overpass" w:eastAsia="Times New Roman" w:hAnsi="Overpass" w:cs="Calibri"/>
                <w:color w:val="212121"/>
                <w:lang w:eastAsia="it-IT"/>
              </w:rPr>
            </w:pPr>
            <w:r w:rsidRPr="006E0488">
              <w:rPr>
                <w:rFonts w:ascii="Overpass" w:eastAsia="Times New Roman" w:hAnsi="Overpass" w:cs="Calibri"/>
                <w:color w:val="212121"/>
                <w:lang w:eastAsia="it-IT"/>
              </w:rPr>
              <w:t> </w:t>
            </w:r>
          </w:p>
        </w:tc>
        <w:tc>
          <w:tcPr>
            <w:tcW w:w="0" w:type="auto"/>
            <w:vAlign w:val="bottom"/>
            <w:hideMark/>
          </w:tcPr>
          <w:p w14:paraId="56048311" w14:textId="77777777" w:rsidR="006E0488" w:rsidRPr="006E0488" w:rsidRDefault="006E0488" w:rsidP="006E0488">
            <w:pPr>
              <w:shd w:val="clear" w:color="auto" w:fill="FFFFFF"/>
              <w:spacing w:after="0" w:line="240" w:lineRule="auto"/>
              <w:jc w:val="right"/>
              <w:rPr>
                <w:rFonts w:ascii="Overpass" w:eastAsia="Times New Roman" w:hAnsi="Overpass" w:cs="Calibri"/>
                <w:color w:val="212121"/>
                <w:lang w:eastAsia="it-IT"/>
              </w:rPr>
            </w:pPr>
            <w:r w:rsidRPr="006E0488">
              <w:rPr>
                <w:rFonts w:ascii="Overpass" w:eastAsia="Times New Roman" w:hAnsi="Overpass" w:cs="Calibri"/>
                <w:color w:val="212121"/>
                <w:lang w:eastAsia="it-IT"/>
              </w:rPr>
              <w:t> </w:t>
            </w:r>
          </w:p>
        </w:tc>
        <w:tc>
          <w:tcPr>
            <w:tcW w:w="2213" w:type="dxa"/>
            <w:vAlign w:val="bottom"/>
            <w:hideMark/>
          </w:tcPr>
          <w:p w14:paraId="06250662" w14:textId="77777777" w:rsidR="006E0488" w:rsidRPr="006E0488" w:rsidRDefault="006E0488" w:rsidP="006E0488">
            <w:pPr>
              <w:shd w:val="clear" w:color="auto" w:fill="FFFFFF"/>
              <w:spacing w:after="0" w:line="240" w:lineRule="auto"/>
              <w:jc w:val="right"/>
              <w:rPr>
                <w:rFonts w:ascii="Overpass" w:eastAsia="Times New Roman" w:hAnsi="Overpass" w:cs="Calibri"/>
                <w:color w:val="212121"/>
                <w:lang w:eastAsia="it-IT"/>
              </w:rPr>
            </w:pPr>
            <w:r w:rsidRPr="006E0488">
              <w:rPr>
                <w:rFonts w:ascii="Overpass" w:eastAsia="Times New Roman" w:hAnsi="Overpass" w:cs="Calibri"/>
                <w:color w:val="212121"/>
                <w:lang w:eastAsia="it-IT"/>
              </w:rPr>
              <w:t> </w:t>
            </w:r>
          </w:p>
        </w:tc>
      </w:tr>
      <w:tr w:rsidR="006E0488" w:rsidRPr="006E0488" w14:paraId="0F38D0F2" w14:textId="77777777" w:rsidTr="006E0488">
        <w:tc>
          <w:tcPr>
            <w:tcW w:w="4253" w:type="dxa"/>
            <w:vAlign w:val="bottom"/>
            <w:hideMark/>
          </w:tcPr>
          <w:p w14:paraId="2A08DD59" w14:textId="77777777" w:rsidR="006E0488" w:rsidRPr="006E0488" w:rsidRDefault="006E0488" w:rsidP="006E0488">
            <w:pPr>
              <w:shd w:val="clear" w:color="auto" w:fill="FFFFFF"/>
              <w:spacing w:after="0" w:line="240" w:lineRule="auto"/>
              <w:jc w:val="both"/>
              <w:rPr>
                <w:rFonts w:ascii="Overpass" w:eastAsia="Times New Roman" w:hAnsi="Overpass" w:cs="Calibri"/>
                <w:color w:val="212121"/>
                <w:lang w:eastAsia="it-IT"/>
              </w:rPr>
            </w:pPr>
            <w:r w:rsidRPr="006E0488">
              <w:rPr>
                <w:rFonts w:ascii="Overpass" w:eastAsia="Times New Roman" w:hAnsi="Overpass" w:cs="Calibri"/>
                <w:color w:val="212121"/>
                <w:lang w:eastAsia="it-IT"/>
              </w:rPr>
              <w:t>—Basic and diluted</w:t>
            </w:r>
          </w:p>
        </w:tc>
        <w:tc>
          <w:tcPr>
            <w:tcW w:w="2665" w:type="dxa"/>
            <w:tcMar>
              <w:top w:w="15" w:type="dxa"/>
              <w:left w:w="15" w:type="dxa"/>
              <w:bottom w:w="15" w:type="dxa"/>
              <w:right w:w="0" w:type="dxa"/>
            </w:tcMar>
            <w:vAlign w:val="bottom"/>
            <w:hideMark/>
          </w:tcPr>
          <w:p w14:paraId="31207606" w14:textId="77777777" w:rsidR="006E0488" w:rsidRPr="006E0488" w:rsidRDefault="006E0488" w:rsidP="006E0488">
            <w:pPr>
              <w:shd w:val="clear" w:color="auto" w:fill="FFFFFF"/>
              <w:spacing w:after="0" w:line="240" w:lineRule="auto"/>
              <w:jc w:val="right"/>
              <w:rPr>
                <w:rFonts w:ascii="Overpass" w:eastAsia="Times New Roman" w:hAnsi="Overpass" w:cs="Calibri"/>
                <w:color w:val="212121"/>
                <w:lang w:eastAsia="it-IT"/>
              </w:rPr>
            </w:pPr>
            <w:r w:rsidRPr="006E0488">
              <w:rPr>
                <w:rFonts w:ascii="Overpass" w:eastAsia="Times New Roman" w:hAnsi="Overpass" w:cs="Calibri"/>
                <w:color w:val="212121"/>
                <w:lang w:eastAsia="it-IT"/>
              </w:rPr>
              <w:t>(0.47)</w:t>
            </w:r>
          </w:p>
        </w:tc>
        <w:tc>
          <w:tcPr>
            <w:tcW w:w="0" w:type="auto"/>
            <w:vAlign w:val="bottom"/>
            <w:hideMark/>
          </w:tcPr>
          <w:p w14:paraId="455CA417" w14:textId="77777777" w:rsidR="006E0488" w:rsidRPr="006E0488" w:rsidRDefault="006E0488" w:rsidP="006E0488">
            <w:pPr>
              <w:shd w:val="clear" w:color="auto" w:fill="FFFFFF"/>
              <w:spacing w:after="0" w:line="240" w:lineRule="auto"/>
              <w:jc w:val="right"/>
              <w:rPr>
                <w:rFonts w:ascii="Overpass" w:eastAsia="Times New Roman" w:hAnsi="Overpass" w:cs="Calibri"/>
                <w:color w:val="212121"/>
                <w:lang w:eastAsia="it-IT"/>
              </w:rPr>
            </w:pPr>
            <w:r w:rsidRPr="006E0488">
              <w:rPr>
                <w:rFonts w:ascii="Overpass" w:eastAsia="Times New Roman" w:hAnsi="Overpass" w:cs="Calibri"/>
                <w:color w:val="212121"/>
                <w:lang w:eastAsia="it-IT"/>
              </w:rPr>
              <w:t> </w:t>
            </w:r>
          </w:p>
        </w:tc>
        <w:tc>
          <w:tcPr>
            <w:tcW w:w="2213" w:type="dxa"/>
            <w:tcMar>
              <w:top w:w="15" w:type="dxa"/>
              <w:left w:w="15" w:type="dxa"/>
              <w:bottom w:w="15" w:type="dxa"/>
              <w:right w:w="0" w:type="dxa"/>
            </w:tcMar>
            <w:vAlign w:val="bottom"/>
            <w:hideMark/>
          </w:tcPr>
          <w:p w14:paraId="0E0FCD04" w14:textId="77777777" w:rsidR="006E0488" w:rsidRPr="006E0488" w:rsidRDefault="006E0488" w:rsidP="006E0488">
            <w:pPr>
              <w:shd w:val="clear" w:color="auto" w:fill="FFFFFF"/>
              <w:spacing w:after="0" w:line="240" w:lineRule="auto"/>
              <w:jc w:val="right"/>
              <w:rPr>
                <w:rFonts w:ascii="Overpass" w:eastAsia="Times New Roman" w:hAnsi="Overpass" w:cs="Calibri"/>
                <w:color w:val="212121"/>
                <w:lang w:eastAsia="it-IT"/>
              </w:rPr>
            </w:pPr>
            <w:r w:rsidRPr="006E0488">
              <w:rPr>
                <w:rFonts w:ascii="Overpass" w:eastAsia="Times New Roman" w:hAnsi="Overpass" w:cs="Calibri"/>
                <w:color w:val="212121"/>
                <w:lang w:eastAsia="it-IT"/>
              </w:rPr>
              <w:t>(0.35)</w:t>
            </w:r>
          </w:p>
        </w:tc>
      </w:tr>
      <w:tr w:rsidR="006E0488" w:rsidRPr="006E0488" w14:paraId="2EC26597" w14:textId="77777777" w:rsidTr="006E0488">
        <w:tc>
          <w:tcPr>
            <w:tcW w:w="4253" w:type="dxa"/>
            <w:vAlign w:val="bottom"/>
            <w:hideMark/>
          </w:tcPr>
          <w:p w14:paraId="11B49A20" w14:textId="77777777" w:rsidR="006E0488" w:rsidRPr="006E0488" w:rsidRDefault="006E0488" w:rsidP="006E0488">
            <w:pPr>
              <w:shd w:val="clear" w:color="auto" w:fill="FFFFFF"/>
              <w:spacing w:after="0" w:line="240" w:lineRule="auto"/>
              <w:jc w:val="both"/>
              <w:rPr>
                <w:rFonts w:ascii="Overpass" w:eastAsia="Times New Roman" w:hAnsi="Overpass" w:cs="Calibri"/>
                <w:color w:val="212121"/>
                <w:lang w:eastAsia="it-IT"/>
              </w:rPr>
            </w:pPr>
            <w:r w:rsidRPr="006E0488">
              <w:rPr>
                <w:rFonts w:ascii="Overpass" w:eastAsia="Times New Roman" w:hAnsi="Overpass" w:cs="Calibri"/>
                <w:b/>
                <w:bCs/>
                <w:color w:val="212121"/>
                <w:lang w:eastAsia="it-IT"/>
              </w:rPr>
              <w:t>Weighted average number of ordinary shares outstanding used in computing net loss per ordinary share</w:t>
            </w:r>
          </w:p>
        </w:tc>
        <w:tc>
          <w:tcPr>
            <w:tcW w:w="2665" w:type="dxa"/>
            <w:vAlign w:val="bottom"/>
            <w:hideMark/>
          </w:tcPr>
          <w:p w14:paraId="588978AB" w14:textId="77777777" w:rsidR="006E0488" w:rsidRPr="006E0488" w:rsidRDefault="006E0488" w:rsidP="006E0488">
            <w:pPr>
              <w:shd w:val="clear" w:color="auto" w:fill="FFFFFF"/>
              <w:spacing w:after="0" w:line="240" w:lineRule="auto"/>
              <w:jc w:val="right"/>
              <w:rPr>
                <w:rFonts w:ascii="Overpass" w:eastAsia="Times New Roman" w:hAnsi="Overpass" w:cs="Calibri"/>
                <w:color w:val="212121"/>
                <w:lang w:eastAsia="it-IT"/>
              </w:rPr>
            </w:pPr>
            <w:r w:rsidRPr="006E0488">
              <w:rPr>
                <w:rFonts w:ascii="Overpass" w:eastAsia="Times New Roman" w:hAnsi="Overpass" w:cs="Calibri"/>
                <w:color w:val="212121"/>
                <w:lang w:eastAsia="it-IT"/>
              </w:rPr>
              <w:t> </w:t>
            </w:r>
          </w:p>
        </w:tc>
        <w:tc>
          <w:tcPr>
            <w:tcW w:w="0" w:type="auto"/>
            <w:vAlign w:val="bottom"/>
            <w:hideMark/>
          </w:tcPr>
          <w:p w14:paraId="2CE7170F" w14:textId="77777777" w:rsidR="006E0488" w:rsidRPr="006E0488" w:rsidRDefault="006E0488" w:rsidP="006E0488">
            <w:pPr>
              <w:shd w:val="clear" w:color="auto" w:fill="FFFFFF"/>
              <w:spacing w:after="0" w:line="240" w:lineRule="auto"/>
              <w:jc w:val="right"/>
              <w:rPr>
                <w:rFonts w:ascii="Overpass" w:eastAsia="Times New Roman" w:hAnsi="Overpass" w:cs="Calibri"/>
                <w:color w:val="212121"/>
                <w:lang w:eastAsia="it-IT"/>
              </w:rPr>
            </w:pPr>
            <w:r w:rsidRPr="006E0488">
              <w:rPr>
                <w:rFonts w:ascii="Overpass" w:eastAsia="Times New Roman" w:hAnsi="Overpass" w:cs="Calibri"/>
                <w:color w:val="212121"/>
                <w:lang w:eastAsia="it-IT"/>
              </w:rPr>
              <w:t> </w:t>
            </w:r>
          </w:p>
        </w:tc>
        <w:tc>
          <w:tcPr>
            <w:tcW w:w="2213" w:type="dxa"/>
            <w:vAlign w:val="bottom"/>
            <w:hideMark/>
          </w:tcPr>
          <w:p w14:paraId="386C533F" w14:textId="77777777" w:rsidR="006E0488" w:rsidRPr="006E0488" w:rsidRDefault="006E0488" w:rsidP="006E0488">
            <w:pPr>
              <w:shd w:val="clear" w:color="auto" w:fill="FFFFFF"/>
              <w:spacing w:after="0" w:line="240" w:lineRule="auto"/>
              <w:jc w:val="right"/>
              <w:rPr>
                <w:rFonts w:ascii="Overpass" w:eastAsia="Times New Roman" w:hAnsi="Overpass" w:cs="Calibri"/>
                <w:color w:val="212121"/>
                <w:lang w:eastAsia="it-IT"/>
              </w:rPr>
            </w:pPr>
            <w:r w:rsidRPr="006E0488">
              <w:rPr>
                <w:rFonts w:ascii="Overpass" w:eastAsia="Times New Roman" w:hAnsi="Overpass" w:cs="Calibri"/>
                <w:color w:val="212121"/>
                <w:lang w:eastAsia="it-IT"/>
              </w:rPr>
              <w:t> </w:t>
            </w:r>
          </w:p>
        </w:tc>
      </w:tr>
      <w:tr w:rsidR="006E0488" w:rsidRPr="006E0488" w14:paraId="16DFE940" w14:textId="77777777" w:rsidTr="006E0488">
        <w:tc>
          <w:tcPr>
            <w:tcW w:w="4253" w:type="dxa"/>
            <w:vAlign w:val="bottom"/>
            <w:hideMark/>
          </w:tcPr>
          <w:p w14:paraId="72C01331" w14:textId="77777777" w:rsidR="006E0488" w:rsidRPr="006E0488" w:rsidRDefault="006E0488" w:rsidP="006E0488">
            <w:pPr>
              <w:shd w:val="clear" w:color="auto" w:fill="FFFFFF"/>
              <w:spacing w:after="0" w:line="240" w:lineRule="auto"/>
              <w:jc w:val="both"/>
              <w:rPr>
                <w:rFonts w:ascii="Overpass" w:eastAsia="Times New Roman" w:hAnsi="Overpass" w:cs="Calibri"/>
                <w:color w:val="212121"/>
                <w:lang w:eastAsia="it-IT"/>
              </w:rPr>
            </w:pPr>
            <w:r w:rsidRPr="006E0488">
              <w:rPr>
                <w:rFonts w:ascii="Overpass" w:eastAsia="Times New Roman" w:hAnsi="Overpass" w:cs="Calibri"/>
                <w:color w:val="212121"/>
                <w:lang w:eastAsia="it-IT"/>
              </w:rPr>
              <w:t>—Basic and diluted</w:t>
            </w:r>
          </w:p>
        </w:tc>
        <w:tc>
          <w:tcPr>
            <w:tcW w:w="2665" w:type="dxa"/>
            <w:tcMar>
              <w:top w:w="15" w:type="dxa"/>
              <w:left w:w="15" w:type="dxa"/>
              <w:bottom w:w="15" w:type="dxa"/>
              <w:right w:w="0" w:type="dxa"/>
            </w:tcMar>
            <w:vAlign w:val="bottom"/>
            <w:hideMark/>
          </w:tcPr>
          <w:p w14:paraId="4DAD27A0" w14:textId="77777777" w:rsidR="006E0488" w:rsidRPr="006E0488" w:rsidRDefault="006E0488" w:rsidP="006E0488">
            <w:pPr>
              <w:shd w:val="clear" w:color="auto" w:fill="FFFFFF"/>
              <w:spacing w:after="0" w:line="240" w:lineRule="auto"/>
              <w:jc w:val="right"/>
              <w:rPr>
                <w:rFonts w:ascii="Overpass" w:eastAsia="Times New Roman" w:hAnsi="Overpass" w:cs="Calibri"/>
                <w:color w:val="212121"/>
                <w:lang w:eastAsia="it-IT"/>
              </w:rPr>
            </w:pPr>
            <w:r w:rsidRPr="006E0488">
              <w:rPr>
                <w:rFonts w:ascii="Overpass" w:eastAsia="Times New Roman" w:hAnsi="Overpass" w:cs="Calibri"/>
                <w:color w:val="212121"/>
                <w:lang w:eastAsia="it-IT"/>
              </w:rPr>
              <w:t>558,429,003</w:t>
            </w:r>
          </w:p>
        </w:tc>
        <w:tc>
          <w:tcPr>
            <w:tcW w:w="0" w:type="auto"/>
            <w:vAlign w:val="bottom"/>
            <w:hideMark/>
          </w:tcPr>
          <w:p w14:paraId="06D60377" w14:textId="77777777" w:rsidR="006E0488" w:rsidRPr="006E0488" w:rsidRDefault="006E0488" w:rsidP="006E0488">
            <w:pPr>
              <w:shd w:val="clear" w:color="auto" w:fill="FFFFFF"/>
              <w:spacing w:after="0" w:line="240" w:lineRule="auto"/>
              <w:jc w:val="right"/>
              <w:rPr>
                <w:rFonts w:ascii="Overpass" w:eastAsia="Times New Roman" w:hAnsi="Overpass" w:cs="Calibri"/>
                <w:color w:val="212121"/>
                <w:lang w:eastAsia="it-IT"/>
              </w:rPr>
            </w:pPr>
            <w:r w:rsidRPr="006E0488">
              <w:rPr>
                <w:rFonts w:ascii="Overpass" w:eastAsia="Times New Roman" w:hAnsi="Overpass" w:cs="Calibri"/>
                <w:color w:val="212121"/>
                <w:lang w:eastAsia="it-IT"/>
              </w:rPr>
              <w:t> </w:t>
            </w:r>
          </w:p>
        </w:tc>
        <w:tc>
          <w:tcPr>
            <w:tcW w:w="2213" w:type="dxa"/>
            <w:tcMar>
              <w:top w:w="15" w:type="dxa"/>
              <w:left w:w="15" w:type="dxa"/>
              <w:bottom w:w="15" w:type="dxa"/>
              <w:right w:w="0" w:type="dxa"/>
            </w:tcMar>
            <w:vAlign w:val="bottom"/>
            <w:hideMark/>
          </w:tcPr>
          <w:p w14:paraId="5B4F93A4" w14:textId="77777777" w:rsidR="006E0488" w:rsidRPr="006E0488" w:rsidRDefault="006E0488" w:rsidP="006E0488">
            <w:pPr>
              <w:shd w:val="clear" w:color="auto" w:fill="FFFFFF"/>
              <w:spacing w:after="0" w:line="240" w:lineRule="auto"/>
              <w:jc w:val="right"/>
              <w:rPr>
                <w:rFonts w:ascii="Overpass" w:eastAsia="Times New Roman" w:hAnsi="Overpass" w:cs="Calibri"/>
                <w:color w:val="212121"/>
                <w:lang w:eastAsia="it-IT"/>
              </w:rPr>
            </w:pPr>
            <w:r w:rsidRPr="006E0488">
              <w:rPr>
                <w:rFonts w:ascii="Overpass" w:eastAsia="Times New Roman" w:hAnsi="Overpass" w:cs="Calibri"/>
                <w:color w:val="212121"/>
                <w:lang w:eastAsia="it-IT"/>
              </w:rPr>
              <w:t>474,621,603</w:t>
            </w:r>
          </w:p>
        </w:tc>
      </w:tr>
      <w:tr w:rsidR="006E0488" w:rsidRPr="006E0488" w14:paraId="1558D80F" w14:textId="77777777" w:rsidTr="006E0488">
        <w:tc>
          <w:tcPr>
            <w:tcW w:w="4253" w:type="dxa"/>
            <w:vAlign w:val="bottom"/>
            <w:hideMark/>
          </w:tcPr>
          <w:p w14:paraId="2703FA98" w14:textId="77777777" w:rsidR="006E0488" w:rsidRPr="006E0488" w:rsidRDefault="006E0488" w:rsidP="006E0488">
            <w:pPr>
              <w:shd w:val="clear" w:color="auto" w:fill="FFFFFF"/>
              <w:spacing w:after="0" w:line="240" w:lineRule="auto"/>
              <w:jc w:val="both"/>
              <w:rPr>
                <w:rFonts w:ascii="Overpass" w:eastAsia="Times New Roman" w:hAnsi="Overpass" w:cs="Calibri"/>
                <w:color w:val="212121"/>
                <w:lang w:eastAsia="it-IT"/>
              </w:rPr>
            </w:pPr>
            <w:r w:rsidRPr="006E0488">
              <w:rPr>
                <w:rFonts w:ascii="Overpass" w:eastAsia="Times New Roman" w:hAnsi="Overpass" w:cs="Calibri"/>
                <w:color w:val="212121"/>
                <w:lang w:eastAsia="it-IT"/>
              </w:rPr>
              <w:t> </w:t>
            </w:r>
          </w:p>
        </w:tc>
        <w:tc>
          <w:tcPr>
            <w:tcW w:w="2665" w:type="dxa"/>
            <w:tcMar>
              <w:top w:w="15" w:type="dxa"/>
              <w:left w:w="15" w:type="dxa"/>
              <w:bottom w:w="15" w:type="dxa"/>
              <w:right w:w="0" w:type="dxa"/>
            </w:tcMar>
            <w:vAlign w:val="bottom"/>
            <w:hideMark/>
          </w:tcPr>
          <w:p w14:paraId="5EB1517D" w14:textId="77777777" w:rsidR="006E0488" w:rsidRPr="006E0488" w:rsidRDefault="006E0488" w:rsidP="006E0488">
            <w:pPr>
              <w:shd w:val="clear" w:color="auto" w:fill="FFFFFF"/>
              <w:spacing w:after="0" w:line="240" w:lineRule="auto"/>
              <w:jc w:val="right"/>
              <w:rPr>
                <w:rFonts w:ascii="Overpass" w:eastAsia="Times New Roman" w:hAnsi="Overpass" w:cs="Calibri"/>
                <w:color w:val="212121"/>
                <w:lang w:eastAsia="it-IT"/>
              </w:rPr>
            </w:pPr>
            <w:r w:rsidRPr="006E0488">
              <w:rPr>
                <w:rFonts w:ascii="Overpass" w:eastAsia="Times New Roman" w:hAnsi="Overpass" w:cs="Calibri"/>
                <w:color w:val="212121"/>
                <w:lang w:eastAsia="it-IT"/>
              </w:rPr>
              <w:t> </w:t>
            </w:r>
          </w:p>
        </w:tc>
        <w:tc>
          <w:tcPr>
            <w:tcW w:w="0" w:type="auto"/>
            <w:vAlign w:val="bottom"/>
            <w:hideMark/>
          </w:tcPr>
          <w:p w14:paraId="5390120F" w14:textId="77777777" w:rsidR="006E0488" w:rsidRPr="006E0488" w:rsidRDefault="006E0488" w:rsidP="006E0488">
            <w:pPr>
              <w:shd w:val="clear" w:color="auto" w:fill="FFFFFF"/>
              <w:spacing w:after="0" w:line="240" w:lineRule="auto"/>
              <w:jc w:val="right"/>
              <w:rPr>
                <w:rFonts w:ascii="Overpass" w:eastAsia="Times New Roman" w:hAnsi="Overpass" w:cs="Calibri"/>
                <w:color w:val="212121"/>
                <w:lang w:eastAsia="it-IT"/>
              </w:rPr>
            </w:pPr>
            <w:r w:rsidRPr="006E0488">
              <w:rPr>
                <w:rFonts w:ascii="Overpass" w:eastAsia="Times New Roman" w:hAnsi="Overpass" w:cs="Calibri"/>
                <w:color w:val="212121"/>
                <w:lang w:eastAsia="it-IT"/>
              </w:rPr>
              <w:t> </w:t>
            </w:r>
          </w:p>
        </w:tc>
        <w:tc>
          <w:tcPr>
            <w:tcW w:w="2213" w:type="dxa"/>
            <w:tcMar>
              <w:top w:w="15" w:type="dxa"/>
              <w:left w:w="15" w:type="dxa"/>
              <w:bottom w:w="15" w:type="dxa"/>
              <w:right w:w="0" w:type="dxa"/>
            </w:tcMar>
            <w:vAlign w:val="bottom"/>
            <w:hideMark/>
          </w:tcPr>
          <w:p w14:paraId="5911A7A2" w14:textId="77777777" w:rsidR="006E0488" w:rsidRPr="006E0488" w:rsidRDefault="006E0488" w:rsidP="006E0488">
            <w:pPr>
              <w:shd w:val="clear" w:color="auto" w:fill="FFFFFF"/>
              <w:spacing w:after="0" w:line="240" w:lineRule="auto"/>
              <w:jc w:val="right"/>
              <w:rPr>
                <w:rFonts w:ascii="Overpass" w:eastAsia="Times New Roman" w:hAnsi="Overpass" w:cs="Calibri"/>
                <w:color w:val="212121"/>
                <w:lang w:eastAsia="it-IT"/>
              </w:rPr>
            </w:pPr>
            <w:r w:rsidRPr="006E0488">
              <w:rPr>
                <w:rFonts w:ascii="Overpass" w:eastAsia="Times New Roman" w:hAnsi="Overpass" w:cs="Calibri"/>
                <w:color w:val="212121"/>
                <w:lang w:eastAsia="it-IT"/>
              </w:rPr>
              <w:t> </w:t>
            </w:r>
          </w:p>
        </w:tc>
      </w:tr>
    </w:tbl>
    <w:p w14:paraId="0C6561A3" w14:textId="77777777" w:rsidR="006E0488" w:rsidRPr="006E0488" w:rsidRDefault="006E0488" w:rsidP="006E0488">
      <w:pPr>
        <w:shd w:val="clear" w:color="auto" w:fill="FFFFFF"/>
        <w:spacing w:after="0" w:line="240" w:lineRule="auto"/>
        <w:jc w:val="both"/>
        <w:rPr>
          <w:rFonts w:ascii="Overpass" w:eastAsia="Times New Roman" w:hAnsi="Overpass" w:cs="Calibri"/>
          <w:color w:val="212121"/>
          <w:lang w:eastAsia="it-IT"/>
        </w:rPr>
      </w:pPr>
    </w:p>
    <w:p w14:paraId="285F67CF" w14:textId="77777777" w:rsidR="006E0488" w:rsidRPr="006E0488" w:rsidRDefault="006E0488" w:rsidP="006E0488">
      <w:pPr>
        <w:shd w:val="clear" w:color="auto" w:fill="FFFFFF"/>
        <w:spacing w:after="0" w:line="240" w:lineRule="auto"/>
        <w:rPr>
          <w:rFonts w:ascii="Overpass" w:eastAsia="Times New Roman" w:hAnsi="Overpass" w:cs="Calibri"/>
          <w:color w:val="212121"/>
          <w:lang w:eastAsia="it-IT"/>
        </w:rPr>
      </w:pPr>
      <w:r w:rsidRPr="006E0488">
        <w:rPr>
          <w:rFonts w:ascii="Overpass" w:eastAsia="Times New Roman" w:hAnsi="Overpass" w:cs="Calibri"/>
          <w:b/>
          <w:bCs/>
          <w:color w:val="212121"/>
          <w:lang w:eastAsia="it-IT"/>
        </w:rPr>
        <w:t>Lotus Technology Inc.</w:t>
      </w:r>
      <w:r w:rsidRPr="006E0488">
        <w:rPr>
          <w:rFonts w:ascii="Overpass" w:eastAsia="Times New Roman" w:hAnsi="Overpass" w:cs="Calibri"/>
          <w:color w:val="212121"/>
          <w:lang w:eastAsia="it-IT"/>
        </w:rPr>
        <w:br/>
      </w:r>
      <w:r w:rsidRPr="006E0488">
        <w:rPr>
          <w:rFonts w:ascii="Overpass" w:eastAsia="Times New Roman" w:hAnsi="Overpass" w:cs="Calibri"/>
          <w:b/>
          <w:bCs/>
          <w:color w:val="212121"/>
          <w:lang w:eastAsia="it-IT"/>
        </w:rPr>
        <w:t>Unaudited Consolidated Statements of Comprehensive Loss (cont’d)</w:t>
      </w:r>
    </w:p>
    <w:p w14:paraId="6F1E2F83" w14:textId="77777777" w:rsidR="006E0488" w:rsidRDefault="006E0488" w:rsidP="006E0488">
      <w:pPr>
        <w:shd w:val="clear" w:color="auto" w:fill="FFFFFF"/>
        <w:spacing w:after="0" w:line="240" w:lineRule="auto"/>
        <w:rPr>
          <w:rFonts w:ascii="Overpass" w:eastAsia="Times New Roman" w:hAnsi="Overpass" w:cs="Calibri"/>
          <w:color w:val="212121"/>
          <w:lang w:eastAsia="it-IT"/>
        </w:rPr>
      </w:pPr>
      <w:r w:rsidRPr="006E0488">
        <w:rPr>
          <w:rFonts w:ascii="Overpass" w:eastAsia="Times New Roman" w:hAnsi="Overpass" w:cs="Calibri"/>
          <w:color w:val="212121"/>
          <w:lang w:eastAsia="it-IT"/>
        </w:rPr>
        <w:t>(All amounts in thousands, except for share and per share data)</w:t>
      </w:r>
    </w:p>
    <w:p w14:paraId="370A8CD6" w14:textId="77777777" w:rsidR="006E0488" w:rsidRDefault="006E0488" w:rsidP="006E0488">
      <w:pPr>
        <w:shd w:val="clear" w:color="auto" w:fill="FFFFFF"/>
        <w:spacing w:after="0" w:line="240" w:lineRule="auto"/>
        <w:rPr>
          <w:rFonts w:ascii="Overpass" w:eastAsia="Times New Roman" w:hAnsi="Overpass" w:cs="Calibri"/>
          <w:color w:val="212121"/>
          <w:lang w:eastAsia="it-IT"/>
        </w:rPr>
      </w:pPr>
    </w:p>
    <w:p w14:paraId="16CA1588" w14:textId="77777777" w:rsidR="006E0488" w:rsidRPr="006E0488" w:rsidRDefault="006E0488" w:rsidP="006E0488">
      <w:pPr>
        <w:shd w:val="clear" w:color="auto" w:fill="FFFFFF"/>
        <w:spacing w:after="0" w:line="240" w:lineRule="auto"/>
        <w:rPr>
          <w:rFonts w:ascii="Overpass" w:eastAsia="Times New Roman" w:hAnsi="Overpass" w:cs="Calibri"/>
          <w:color w:val="212121"/>
          <w:lang w:eastAsia="it-IT"/>
        </w:rPr>
      </w:pPr>
    </w:p>
    <w:tbl>
      <w:tblPr>
        <w:tblW w:w="9356" w:type="dxa"/>
        <w:tblCellMar>
          <w:top w:w="15" w:type="dxa"/>
          <w:left w:w="15" w:type="dxa"/>
          <w:bottom w:w="15" w:type="dxa"/>
          <w:right w:w="15" w:type="dxa"/>
        </w:tblCellMar>
        <w:tblLook w:val="04A0" w:firstRow="1" w:lastRow="0" w:firstColumn="1" w:lastColumn="0" w:noHBand="0" w:noVBand="1"/>
      </w:tblPr>
      <w:tblGrid>
        <w:gridCol w:w="4678"/>
        <w:gridCol w:w="425"/>
        <w:gridCol w:w="2690"/>
        <w:gridCol w:w="83"/>
        <w:gridCol w:w="1480"/>
      </w:tblGrid>
      <w:tr w:rsidR="006E0488" w:rsidRPr="006E0488" w14:paraId="1A539618" w14:textId="77777777" w:rsidTr="006E0488">
        <w:tc>
          <w:tcPr>
            <w:tcW w:w="5103" w:type="dxa"/>
            <w:gridSpan w:val="2"/>
            <w:vAlign w:val="bottom"/>
            <w:hideMark/>
          </w:tcPr>
          <w:p w14:paraId="7411A115" w14:textId="7A1D5DA8" w:rsidR="006E0488" w:rsidRPr="006E0488" w:rsidRDefault="006E0488" w:rsidP="006E0488">
            <w:pPr>
              <w:shd w:val="clear" w:color="auto" w:fill="FFFFFF"/>
              <w:spacing w:after="0" w:line="240" w:lineRule="auto"/>
              <w:jc w:val="center"/>
              <w:rPr>
                <w:rFonts w:ascii="Overpass" w:eastAsia="Times New Roman" w:hAnsi="Overpass" w:cs="Calibri"/>
                <w:color w:val="212121"/>
                <w:lang w:eastAsia="it-IT"/>
              </w:rPr>
            </w:pPr>
          </w:p>
        </w:tc>
        <w:tc>
          <w:tcPr>
            <w:tcW w:w="4253" w:type="dxa"/>
            <w:gridSpan w:val="3"/>
            <w:tcBorders>
              <w:bottom w:val="single" w:sz="8" w:space="0" w:color="000000"/>
            </w:tcBorders>
            <w:vAlign w:val="bottom"/>
            <w:hideMark/>
          </w:tcPr>
          <w:p w14:paraId="635DA36E" w14:textId="77777777" w:rsidR="006E0488" w:rsidRPr="006E0488" w:rsidRDefault="006E0488" w:rsidP="006E0488">
            <w:pPr>
              <w:shd w:val="clear" w:color="auto" w:fill="FFFFFF"/>
              <w:spacing w:after="0" w:line="240" w:lineRule="auto"/>
              <w:jc w:val="center"/>
              <w:rPr>
                <w:rFonts w:ascii="Overpass" w:eastAsia="Times New Roman" w:hAnsi="Overpass" w:cs="Calibri"/>
                <w:color w:val="212121"/>
                <w:lang w:eastAsia="it-IT"/>
              </w:rPr>
            </w:pPr>
            <w:r w:rsidRPr="006E0488">
              <w:rPr>
                <w:rFonts w:ascii="Overpass" w:eastAsia="Times New Roman" w:hAnsi="Overpass" w:cs="Calibri"/>
                <w:b/>
                <w:bCs/>
                <w:color w:val="212121"/>
                <w:lang w:eastAsia="it-IT"/>
              </w:rPr>
              <w:t>For the Three Months Ended</w:t>
            </w:r>
          </w:p>
        </w:tc>
      </w:tr>
      <w:tr w:rsidR="006E0488" w:rsidRPr="006E0488" w14:paraId="69FA4330" w14:textId="77777777" w:rsidTr="006E0488">
        <w:tc>
          <w:tcPr>
            <w:tcW w:w="4678" w:type="dxa"/>
            <w:vAlign w:val="bottom"/>
            <w:hideMark/>
          </w:tcPr>
          <w:p w14:paraId="13B1D61C" w14:textId="77777777" w:rsidR="006E0488" w:rsidRPr="006E0488" w:rsidRDefault="006E0488" w:rsidP="006E0488">
            <w:pPr>
              <w:shd w:val="clear" w:color="auto" w:fill="FFFFFF"/>
              <w:spacing w:after="0" w:line="240" w:lineRule="auto"/>
              <w:jc w:val="both"/>
              <w:rPr>
                <w:rFonts w:ascii="Overpass" w:eastAsia="Times New Roman" w:hAnsi="Overpass" w:cs="Calibri"/>
                <w:color w:val="212121"/>
                <w:lang w:eastAsia="it-IT"/>
              </w:rPr>
            </w:pPr>
            <w:r w:rsidRPr="006E0488">
              <w:rPr>
                <w:rFonts w:ascii="Overpass" w:eastAsia="Times New Roman" w:hAnsi="Overpass" w:cs="Calibri"/>
                <w:color w:val="212121"/>
                <w:lang w:eastAsia="it-IT"/>
              </w:rPr>
              <w:t> </w:t>
            </w:r>
          </w:p>
        </w:tc>
        <w:tc>
          <w:tcPr>
            <w:tcW w:w="3115" w:type="dxa"/>
            <w:gridSpan w:val="2"/>
            <w:tcBorders>
              <w:bottom w:val="single" w:sz="8" w:space="0" w:color="000000"/>
            </w:tcBorders>
            <w:vAlign w:val="bottom"/>
            <w:hideMark/>
          </w:tcPr>
          <w:p w14:paraId="286FBD46" w14:textId="77777777" w:rsidR="006E0488" w:rsidRPr="006E0488" w:rsidRDefault="006E0488" w:rsidP="006E0488">
            <w:pPr>
              <w:shd w:val="clear" w:color="auto" w:fill="FFFFFF"/>
              <w:spacing w:after="0" w:line="240" w:lineRule="auto"/>
              <w:jc w:val="right"/>
              <w:rPr>
                <w:rFonts w:ascii="Overpass" w:eastAsia="Times New Roman" w:hAnsi="Overpass" w:cs="Calibri"/>
                <w:color w:val="212121"/>
                <w:lang w:eastAsia="it-IT"/>
              </w:rPr>
            </w:pPr>
            <w:r w:rsidRPr="006E0488">
              <w:rPr>
                <w:rFonts w:ascii="Overpass" w:eastAsia="Times New Roman" w:hAnsi="Overpass" w:cs="Calibri"/>
                <w:b/>
                <w:bCs/>
                <w:color w:val="212121"/>
                <w:lang w:eastAsia="it-IT"/>
              </w:rPr>
              <w:t>Mar 31, 2024</w:t>
            </w:r>
          </w:p>
        </w:tc>
        <w:tc>
          <w:tcPr>
            <w:tcW w:w="83" w:type="dxa"/>
            <w:vAlign w:val="bottom"/>
            <w:hideMark/>
          </w:tcPr>
          <w:p w14:paraId="61BCFCBF" w14:textId="22DDE3C0" w:rsidR="006E0488" w:rsidRPr="006E0488" w:rsidRDefault="006E0488" w:rsidP="006E0488">
            <w:pPr>
              <w:shd w:val="clear" w:color="auto" w:fill="FFFFFF"/>
              <w:spacing w:after="0" w:line="240" w:lineRule="auto"/>
              <w:jc w:val="right"/>
              <w:rPr>
                <w:rFonts w:ascii="Overpass" w:eastAsia="Times New Roman" w:hAnsi="Overpass" w:cs="Calibri"/>
                <w:color w:val="212121"/>
                <w:lang w:eastAsia="it-IT"/>
              </w:rPr>
            </w:pPr>
          </w:p>
        </w:tc>
        <w:tc>
          <w:tcPr>
            <w:tcW w:w="1480" w:type="dxa"/>
            <w:tcBorders>
              <w:bottom w:val="single" w:sz="8" w:space="0" w:color="000000"/>
            </w:tcBorders>
            <w:vAlign w:val="bottom"/>
            <w:hideMark/>
          </w:tcPr>
          <w:p w14:paraId="2A390ED1" w14:textId="77777777" w:rsidR="006E0488" w:rsidRPr="006E0488" w:rsidRDefault="006E0488" w:rsidP="006E0488">
            <w:pPr>
              <w:shd w:val="clear" w:color="auto" w:fill="FFFFFF"/>
              <w:spacing w:after="0" w:line="240" w:lineRule="auto"/>
              <w:jc w:val="right"/>
              <w:rPr>
                <w:rFonts w:ascii="Overpass" w:eastAsia="Times New Roman" w:hAnsi="Overpass" w:cs="Calibri"/>
                <w:color w:val="212121"/>
                <w:lang w:eastAsia="it-IT"/>
              </w:rPr>
            </w:pPr>
            <w:r w:rsidRPr="006E0488">
              <w:rPr>
                <w:rFonts w:ascii="Overpass" w:eastAsia="Times New Roman" w:hAnsi="Overpass" w:cs="Calibri"/>
                <w:b/>
                <w:bCs/>
                <w:color w:val="212121"/>
                <w:lang w:eastAsia="it-IT"/>
              </w:rPr>
              <w:t>Mar 31, 2023</w:t>
            </w:r>
          </w:p>
        </w:tc>
      </w:tr>
      <w:tr w:rsidR="006E0488" w:rsidRPr="006E0488" w14:paraId="1925BEAF" w14:textId="77777777" w:rsidTr="006E0488">
        <w:tc>
          <w:tcPr>
            <w:tcW w:w="4678" w:type="dxa"/>
            <w:vAlign w:val="bottom"/>
            <w:hideMark/>
          </w:tcPr>
          <w:p w14:paraId="40F06B6B" w14:textId="77777777" w:rsidR="006E0488" w:rsidRPr="006E0488" w:rsidRDefault="006E0488" w:rsidP="006E0488">
            <w:pPr>
              <w:shd w:val="clear" w:color="auto" w:fill="FFFFFF"/>
              <w:spacing w:after="0" w:line="240" w:lineRule="auto"/>
              <w:jc w:val="both"/>
              <w:rPr>
                <w:rFonts w:ascii="Overpass" w:eastAsia="Times New Roman" w:hAnsi="Overpass" w:cs="Calibri"/>
                <w:color w:val="212121"/>
                <w:lang w:eastAsia="it-IT"/>
              </w:rPr>
            </w:pPr>
            <w:r w:rsidRPr="006E0488">
              <w:rPr>
                <w:rFonts w:ascii="Overpass" w:eastAsia="Times New Roman" w:hAnsi="Overpass" w:cs="Calibri"/>
                <w:color w:val="212121"/>
                <w:lang w:eastAsia="it-IT"/>
              </w:rPr>
              <w:t> </w:t>
            </w:r>
          </w:p>
        </w:tc>
        <w:tc>
          <w:tcPr>
            <w:tcW w:w="3115" w:type="dxa"/>
            <w:gridSpan w:val="2"/>
            <w:vAlign w:val="bottom"/>
            <w:hideMark/>
          </w:tcPr>
          <w:p w14:paraId="6255BFAF" w14:textId="77777777" w:rsidR="006E0488" w:rsidRPr="006E0488" w:rsidRDefault="006E0488" w:rsidP="006E0488">
            <w:pPr>
              <w:shd w:val="clear" w:color="auto" w:fill="FFFFFF"/>
              <w:spacing w:after="0" w:line="240" w:lineRule="auto"/>
              <w:jc w:val="right"/>
              <w:rPr>
                <w:rFonts w:ascii="Overpass" w:eastAsia="Times New Roman" w:hAnsi="Overpass" w:cs="Calibri"/>
                <w:color w:val="212121"/>
                <w:lang w:eastAsia="it-IT"/>
              </w:rPr>
            </w:pPr>
            <w:r w:rsidRPr="006E0488">
              <w:rPr>
                <w:rFonts w:ascii="Overpass" w:eastAsia="Times New Roman" w:hAnsi="Overpass" w:cs="Calibri"/>
                <w:b/>
                <w:bCs/>
                <w:i/>
                <w:iCs/>
                <w:color w:val="212121"/>
                <w:lang w:eastAsia="it-IT"/>
              </w:rPr>
              <w:t>US$</w:t>
            </w:r>
          </w:p>
        </w:tc>
        <w:tc>
          <w:tcPr>
            <w:tcW w:w="0" w:type="auto"/>
            <w:vAlign w:val="bottom"/>
            <w:hideMark/>
          </w:tcPr>
          <w:p w14:paraId="0EA79849" w14:textId="3576FD1D" w:rsidR="006E0488" w:rsidRPr="006E0488" w:rsidRDefault="006E0488" w:rsidP="006E0488">
            <w:pPr>
              <w:shd w:val="clear" w:color="auto" w:fill="FFFFFF"/>
              <w:spacing w:after="0" w:line="240" w:lineRule="auto"/>
              <w:jc w:val="right"/>
              <w:rPr>
                <w:rFonts w:ascii="Overpass" w:eastAsia="Times New Roman" w:hAnsi="Overpass" w:cs="Calibri"/>
                <w:color w:val="212121"/>
                <w:lang w:eastAsia="it-IT"/>
              </w:rPr>
            </w:pPr>
          </w:p>
        </w:tc>
        <w:tc>
          <w:tcPr>
            <w:tcW w:w="1480" w:type="dxa"/>
            <w:vAlign w:val="bottom"/>
            <w:hideMark/>
          </w:tcPr>
          <w:p w14:paraId="4E89D7B9" w14:textId="77777777" w:rsidR="006E0488" w:rsidRPr="006E0488" w:rsidRDefault="006E0488" w:rsidP="006E0488">
            <w:pPr>
              <w:shd w:val="clear" w:color="auto" w:fill="FFFFFF"/>
              <w:spacing w:after="0" w:line="240" w:lineRule="auto"/>
              <w:jc w:val="right"/>
              <w:rPr>
                <w:rFonts w:ascii="Overpass" w:eastAsia="Times New Roman" w:hAnsi="Overpass" w:cs="Calibri"/>
                <w:color w:val="212121"/>
                <w:lang w:eastAsia="it-IT"/>
              </w:rPr>
            </w:pPr>
            <w:r w:rsidRPr="006E0488">
              <w:rPr>
                <w:rFonts w:ascii="Overpass" w:eastAsia="Times New Roman" w:hAnsi="Overpass" w:cs="Calibri"/>
                <w:b/>
                <w:bCs/>
                <w:i/>
                <w:iCs/>
                <w:color w:val="212121"/>
                <w:lang w:eastAsia="it-IT"/>
              </w:rPr>
              <w:t>US$</w:t>
            </w:r>
          </w:p>
        </w:tc>
      </w:tr>
      <w:tr w:rsidR="006E0488" w:rsidRPr="006E0488" w14:paraId="71E4EB57" w14:textId="77777777" w:rsidTr="006E0488">
        <w:tc>
          <w:tcPr>
            <w:tcW w:w="4678" w:type="dxa"/>
            <w:vAlign w:val="bottom"/>
            <w:hideMark/>
          </w:tcPr>
          <w:p w14:paraId="5810F752" w14:textId="77777777" w:rsidR="006E0488" w:rsidRPr="006E0488" w:rsidRDefault="006E0488" w:rsidP="006E0488">
            <w:pPr>
              <w:shd w:val="clear" w:color="auto" w:fill="FFFFFF"/>
              <w:spacing w:after="0" w:line="240" w:lineRule="auto"/>
              <w:jc w:val="both"/>
              <w:rPr>
                <w:rFonts w:ascii="Overpass" w:eastAsia="Times New Roman" w:hAnsi="Overpass" w:cs="Calibri"/>
                <w:color w:val="212121"/>
                <w:lang w:eastAsia="it-IT"/>
              </w:rPr>
            </w:pPr>
            <w:r w:rsidRPr="006E0488">
              <w:rPr>
                <w:rFonts w:ascii="Overpass" w:eastAsia="Times New Roman" w:hAnsi="Overpass" w:cs="Calibri"/>
                <w:b/>
                <w:bCs/>
                <w:color w:val="212121"/>
                <w:lang w:eastAsia="it-IT"/>
              </w:rPr>
              <w:t>Net loss</w:t>
            </w:r>
          </w:p>
        </w:tc>
        <w:tc>
          <w:tcPr>
            <w:tcW w:w="3115" w:type="dxa"/>
            <w:gridSpan w:val="2"/>
            <w:tcMar>
              <w:top w:w="15" w:type="dxa"/>
              <w:left w:w="15" w:type="dxa"/>
              <w:bottom w:w="15" w:type="dxa"/>
              <w:right w:w="0" w:type="dxa"/>
            </w:tcMar>
            <w:vAlign w:val="bottom"/>
            <w:hideMark/>
          </w:tcPr>
          <w:p w14:paraId="1DECE406" w14:textId="77777777" w:rsidR="006E0488" w:rsidRPr="006E0488" w:rsidRDefault="006E0488" w:rsidP="006E0488">
            <w:pPr>
              <w:shd w:val="clear" w:color="auto" w:fill="FFFFFF"/>
              <w:spacing w:after="0" w:line="240" w:lineRule="auto"/>
              <w:jc w:val="right"/>
              <w:rPr>
                <w:rFonts w:ascii="Overpass" w:eastAsia="Times New Roman" w:hAnsi="Overpass" w:cs="Calibri"/>
                <w:color w:val="212121"/>
                <w:lang w:eastAsia="it-IT"/>
              </w:rPr>
            </w:pPr>
            <w:r w:rsidRPr="006E0488">
              <w:rPr>
                <w:rFonts w:ascii="Overpass" w:eastAsia="Times New Roman" w:hAnsi="Overpass" w:cs="Calibri"/>
                <w:b/>
                <w:bCs/>
                <w:color w:val="212121"/>
                <w:lang w:eastAsia="it-IT"/>
              </w:rPr>
              <w:t>(258,225)</w:t>
            </w:r>
          </w:p>
        </w:tc>
        <w:tc>
          <w:tcPr>
            <w:tcW w:w="0" w:type="auto"/>
            <w:vAlign w:val="bottom"/>
            <w:hideMark/>
          </w:tcPr>
          <w:p w14:paraId="23F48EDA" w14:textId="30D91C80" w:rsidR="006E0488" w:rsidRPr="006E0488" w:rsidRDefault="006E0488" w:rsidP="006E0488">
            <w:pPr>
              <w:shd w:val="clear" w:color="auto" w:fill="FFFFFF"/>
              <w:spacing w:after="0" w:line="240" w:lineRule="auto"/>
              <w:jc w:val="right"/>
              <w:rPr>
                <w:rFonts w:ascii="Overpass" w:eastAsia="Times New Roman" w:hAnsi="Overpass" w:cs="Calibri"/>
                <w:color w:val="212121"/>
                <w:lang w:eastAsia="it-IT"/>
              </w:rPr>
            </w:pPr>
          </w:p>
        </w:tc>
        <w:tc>
          <w:tcPr>
            <w:tcW w:w="1480" w:type="dxa"/>
            <w:tcMar>
              <w:top w:w="15" w:type="dxa"/>
              <w:left w:w="15" w:type="dxa"/>
              <w:bottom w:w="15" w:type="dxa"/>
              <w:right w:w="0" w:type="dxa"/>
            </w:tcMar>
            <w:vAlign w:val="bottom"/>
            <w:hideMark/>
          </w:tcPr>
          <w:p w14:paraId="7818FE69" w14:textId="77777777" w:rsidR="006E0488" w:rsidRPr="006E0488" w:rsidRDefault="006E0488" w:rsidP="006E0488">
            <w:pPr>
              <w:shd w:val="clear" w:color="auto" w:fill="FFFFFF"/>
              <w:spacing w:after="0" w:line="240" w:lineRule="auto"/>
              <w:jc w:val="right"/>
              <w:rPr>
                <w:rFonts w:ascii="Overpass" w:eastAsia="Times New Roman" w:hAnsi="Overpass" w:cs="Calibri"/>
                <w:color w:val="212121"/>
                <w:lang w:eastAsia="it-IT"/>
              </w:rPr>
            </w:pPr>
            <w:r w:rsidRPr="006E0488">
              <w:rPr>
                <w:rFonts w:ascii="Overpass" w:eastAsia="Times New Roman" w:hAnsi="Overpass" w:cs="Calibri"/>
                <w:b/>
                <w:bCs/>
                <w:color w:val="212121"/>
                <w:lang w:eastAsia="it-IT"/>
              </w:rPr>
              <w:t>(159,575)</w:t>
            </w:r>
          </w:p>
        </w:tc>
      </w:tr>
      <w:tr w:rsidR="006E0488" w:rsidRPr="006E0488" w14:paraId="4C86FB37" w14:textId="77777777" w:rsidTr="006E0488">
        <w:tc>
          <w:tcPr>
            <w:tcW w:w="4678" w:type="dxa"/>
            <w:vAlign w:val="bottom"/>
            <w:hideMark/>
          </w:tcPr>
          <w:p w14:paraId="762569B4" w14:textId="77777777" w:rsidR="006E0488" w:rsidRPr="006E0488" w:rsidRDefault="006E0488" w:rsidP="006E0488">
            <w:pPr>
              <w:shd w:val="clear" w:color="auto" w:fill="FFFFFF"/>
              <w:spacing w:after="0" w:line="240" w:lineRule="auto"/>
              <w:jc w:val="both"/>
              <w:rPr>
                <w:rFonts w:ascii="Overpass" w:eastAsia="Times New Roman" w:hAnsi="Overpass" w:cs="Calibri"/>
                <w:color w:val="212121"/>
                <w:lang w:eastAsia="it-IT"/>
              </w:rPr>
            </w:pPr>
            <w:r w:rsidRPr="006E0488">
              <w:rPr>
                <w:rFonts w:ascii="Overpass" w:eastAsia="Times New Roman" w:hAnsi="Overpass" w:cs="Calibri"/>
                <w:color w:val="212121"/>
                <w:lang w:eastAsia="it-IT"/>
              </w:rPr>
              <w:t> </w:t>
            </w:r>
          </w:p>
        </w:tc>
        <w:tc>
          <w:tcPr>
            <w:tcW w:w="3115" w:type="dxa"/>
            <w:gridSpan w:val="2"/>
            <w:vAlign w:val="bottom"/>
            <w:hideMark/>
          </w:tcPr>
          <w:p w14:paraId="14551D66" w14:textId="1427219C" w:rsidR="006E0488" w:rsidRPr="006E0488" w:rsidRDefault="006E0488" w:rsidP="006E0488">
            <w:pPr>
              <w:shd w:val="clear" w:color="auto" w:fill="FFFFFF"/>
              <w:spacing w:after="0" w:line="240" w:lineRule="auto"/>
              <w:jc w:val="right"/>
              <w:rPr>
                <w:rFonts w:ascii="Overpass" w:eastAsia="Times New Roman" w:hAnsi="Overpass" w:cs="Calibri"/>
                <w:color w:val="212121"/>
                <w:lang w:eastAsia="it-IT"/>
              </w:rPr>
            </w:pPr>
          </w:p>
        </w:tc>
        <w:tc>
          <w:tcPr>
            <w:tcW w:w="0" w:type="auto"/>
            <w:vAlign w:val="bottom"/>
            <w:hideMark/>
          </w:tcPr>
          <w:p w14:paraId="20558109" w14:textId="3C411F9C" w:rsidR="006E0488" w:rsidRPr="006E0488" w:rsidRDefault="006E0488" w:rsidP="006E0488">
            <w:pPr>
              <w:shd w:val="clear" w:color="auto" w:fill="FFFFFF"/>
              <w:spacing w:after="0" w:line="240" w:lineRule="auto"/>
              <w:jc w:val="right"/>
              <w:rPr>
                <w:rFonts w:ascii="Overpass" w:eastAsia="Times New Roman" w:hAnsi="Overpass" w:cs="Calibri"/>
                <w:color w:val="212121"/>
                <w:lang w:eastAsia="it-IT"/>
              </w:rPr>
            </w:pPr>
          </w:p>
        </w:tc>
        <w:tc>
          <w:tcPr>
            <w:tcW w:w="1480" w:type="dxa"/>
            <w:vAlign w:val="bottom"/>
            <w:hideMark/>
          </w:tcPr>
          <w:p w14:paraId="0B440BD7" w14:textId="29667785" w:rsidR="006E0488" w:rsidRPr="006E0488" w:rsidRDefault="006E0488" w:rsidP="006E0488">
            <w:pPr>
              <w:shd w:val="clear" w:color="auto" w:fill="FFFFFF"/>
              <w:spacing w:after="0" w:line="240" w:lineRule="auto"/>
              <w:jc w:val="right"/>
              <w:rPr>
                <w:rFonts w:ascii="Overpass" w:eastAsia="Times New Roman" w:hAnsi="Overpass" w:cs="Calibri"/>
                <w:color w:val="212121"/>
                <w:lang w:eastAsia="it-IT"/>
              </w:rPr>
            </w:pPr>
          </w:p>
        </w:tc>
      </w:tr>
      <w:tr w:rsidR="006E0488" w:rsidRPr="006E0488" w14:paraId="47C2FC11" w14:textId="77777777" w:rsidTr="006E0488">
        <w:tc>
          <w:tcPr>
            <w:tcW w:w="4678" w:type="dxa"/>
            <w:vAlign w:val="bottom"/>
            <w:hideMark/>
          </w:tcPr>
          <w:p w14:paraId="71604B16" w14:textId="77777777" w:rsidR="006E0488" w:rsidRPr="006E0488" w:rsidRDefault="006E0488" w:rsidP="006E0488">
            <w:pPr>
              <w:shd w:val="clear" w:color="auto" w:fill="FFFFFF"/>
              <w:spacing w:after="0" w:line="240" w:lineRule="auto"/>
              <w:jc w:val="both"/>
              <w:rPr>
                <w:rFonts w:ascii="Overpass" w:eastAsia="Times New Roman" w:hAnsi="Overpass" w:cs="Calibri"/>
                <w:color w:val="212121"/>
                <w:lang w:eastAsia="it-IT"/>
              </w:rPr>
            </w:pPr>
            <w:r w:rsidRPr="006E0488">
              <w:rPr>
                <w:rFonts w:ascii="Overpass" w:eastAsia="Times New Roman" w:hAnsi="Overpass" w:cs="Calibri"/>
                <w:b/>
                <w:bCs/>
                <w:color w:val="212121"/>
                <w:lang w:eastAsia="it-IT"/>
              </w:rPr>
              <w:t>Other comprehensive loss:</w:t>
            </w:r>
          </w:p>
        </w:tc>
        <w:tc>
          <w:tcPr>
            <w:tcW w:w="3115" w:type="dxa"/>
            <w:gridSpan w:val="2"/>
            <w:vAlign w:val="bottom"/>
            <w:hideMark/>
          </w:tcPr>
          <w:p w14:paraId="162D9098" w14:textId="5B03E69B" w:rsidR="006E0488" w:rsidRPr="006E0488" w:rsidRDefault="006E0488" w:rsidP="006E0488">
            <w:pPr>
              <w:shd w:val="clear" w:color="auto" w:fill="FFFFFF"/>
              <w:spacing w:after="0" w:line="240" w:lineRule="auto"/>
              <w:jc w:val="right"/>
              <w:rPr>
                <w:rFonts w:ascii="Overpass" w:eastAsia="Times New Roman" w:hAnsi="Overpass" w:cs="Calibri"/>
                <w:color w:val="212121"/>
                <w:lang w:eastAsia="it-IT"/>
              </w:rPr>
            </w:pPr>
          </w:p>
        </w:tc>
        <w:tc>
          <w:tcPr>
            <w:tcW w:w="0" w:type="auto"/>
            <w:vAlign w:val="bottom"/>
            <w:hideMark/>
          </w:tcPr>
          <w:p w14:paraId="6D10C599" w14:textId="3FB2B87A" w:rsidR="006E0488" w:rsidRPr="006E0488" w:rsidRDefault="006E0488" w:rsidP="006E0488">
            <w:pPr>
              <w:shd w:val="clear" w:color="auto" w:fill="FFFFFF"/>
              <w:spacing w:after="0" w:line="240" w:lineRule="auto"/>
              <w:jc w:val="right"/>
              <w:rPr>
                <w:rFonts w:ascii="Overpass" w:eastAsia="Times New Roman" w:hAnsi="Overpass" w:cs="Calibri"/>
                <w:color w:val="212121"/>
                <w:lang w:eastAsia="it-IT"/>
              </w:rPr>
            </w:pPr>
          </w:p>
        </w:tc>
        <w:tc>
          <w:tcPr>
            <w:tcW w:w="1480" w:type="dxa"/>
            <w:vAlign w:val="bottom"/>
            <w:hideMark/>
          </w:tcPr>
          <w:p w14:paraId="37796922" w14:textId="465BF6F0" w:rsidR="006E0488" w:rsidRPr="006E0488" w:rsidRDefault="006E0488" w:rsidP="006E0488">
            <w:pPr>
              <w:shd w:val="clear" w:color="auto" w:fill="FFFFFF"/>
              <w:spacing w:after="0" w:line="240" w:lineRule="auto"/>
              <w:jc w:val="right"/>
              <w:rPr>
                <w:rFonts w:ascii="Overpass" w:eastAsia="Times New Roman" w:hAnsi="Overpass" w:cs="Calibri"/>
                <w:color w:val="212121"/>
                <w:lang w:eastAsia="it-IT"/>
              </w:rPr>
            </w:pPr>
          </w:p>
        </w:tc>
      </w:tr>
      <w:tr w:rsidR="006E0488" w:rsidRPr="006E0488" w14:paraId="65B3CD3C" w14:textId="77777777" w:rsidTr="006E0488">
        <w:tc>
          <w:tcPr>
            <w:tcW w:w="4678" w:type="dxa"/>
            <w:vAlign w:val="bottom"/>
            <w:hideMark/>
          </w:tcPr>
          <w:p w14:paraId="1E4CF34A" w14:textId="77777777" w:rsidR="006E0488" w:rsidRPr="006E0488" w:rsidRDefault="006E0488" w:rsidP="006E0488">
            <w:pPr>
              <w:shd w:val="clear" w:color="auto" w:fill="FFFFFF"/>
              <w:spacing w:after="0" w:line="240" w:lineRule="auto"/>
              <w:jc w:val="both"/>
              <w:rPr>
                <w:rFonts w:ascii="Overpass" w:eastAsia="Times New Roman" w:hAnsi="Overpass" w:cs="Calibri"/>
                <w:color w:val="212121"/>
                <w:lang w:eastAsia="it-IT"/>
              </w:rPr>
            </w:pPr>
            <w:r w:rsidRPr="006E0488">
              <w:rPr>
                <w:rFonts w:ascii="Overpass" w:eastAsia="Times New Roman" w:hAnsi="Overpass" w:cs="Calibri"/>
                <w:color w:val="212121"/>
                <w:lang w:eastAsia="it-IT"/>
              </w:rPr>
              <w:t>Fair value changes of mandatorily redeemable noncontrolling interest, exchangeable notes and convertible notes due to instrument-specific credit risk, net of nil income taxes</w:t>
            </w:r>
          </w:p>
        </w:tc>
        <w:tc>
          <w:tcPr>
            <w:tcW w:w="3115" w:type="dxa"/>
            <w:gridSpan w:val="2"/>
            <w:tcMar>
              <w:top w:w="15" w:type="dxa"/>
              <w:left w:w="15" w:type="dxa"/>
              <w:bottom w:w="15" w:type="dxa"/>
              <w:right w:w="0" w:type="dxa"/>
            </w:tcMar>
            <w:vAlign w:val="bottom"/>
            <w:hideMark/>
          </w:tcPr>
          <w:p w14:paraId="091E32EE" w14:textId="77777777" w:rsidR="006E0488" w:rsidRPr="006E0488" w:rsidRDefault="006E0488" w:rsidP="006E0488">
            <w:pPr>
              <w:shd w:val="clear" w:color="auto" w:fill="FFFFFF"/>
              <w:spacing w:after="0" w:line="240" w:lineRule="auto"/>
              <w:jc w:val="right"/>
              <w:rPr>
                <w:rFonts w:ascii="Overpass" w:eastAsia="Times New Roman" w:hAnsi="Overpass" w:cs="Calibri"/>
                <w:color w:val="212121"/>
                <w:lang w:eastAsia="it-IT"/>
              </w:rPr>
            </w:pPr>
            <w:r w:rsidRPr="006E0488">
              <w:rPr>
                <w:rFonts w:ascii="Overpass" w:eastAsia="Times New Roman" w:hAnsi="Overpass" w:cs="Calibri"/>
                <w:color w:val="212121"/>
                <w:lang w:eastAsia="it-IT"/>
              </w:rPr>
              <w:t>(175)</w:t>
            </w:r>
          </w:p>
        </w:tc>
        <w:tc>
          <w:tcPr>
            <w:tcW w:w="0" w:type="auto"/>
            <w:vAlign w:val="bottom"/>
            <w:hideMark/>
          </w:tcPr>
          <w:p w14:paraId="66948E27" w14:textId="511D2E20" w:rsidR="006E0488" w:rsidRPr="006E0488" w:rsidRDefault="006E0488" w:rsidP="006E0488">
            <w:pPr>
              <w:shd w:val="clear" w:color="auto" w:fill="FFFFFF"/>
              <w:spacing w:after="0" w:line="240" w:lineRule="auto"/>
              <w:jc w:val="right"/>
              <w:rPr>
                <w:rFonts w:ascii="Overpass" w:eastAsia="Times New Roman" w:hAnsi="Overpass" w:cs="Calibri"/>
                <w:color w:val="212121"/>
                <w:lang w:eastAsia="it-IT"/>
              </w:rPr>
            </w:pPr>
          </w:p>
        </w:tc>
        <w:tc>
          <w:tcPr>
            <w:tcW w:w="1480" w:type="dxa"/>
            <w:tcMar>
              <w:top w:w="15" w:type="dxa"/>
              <w:left w:w="15" w:type="dxa"/>
              <w:bottom w:w="15" w:type="dxa"/>
              <w:right w:w="0" w:type="dxa"/>
            </w:tcMar>
            <w:vAlign w:val="bottom"/>
            <w:hideMark/>
          </w:tcPr>
          <w:p w14:paraId="6C1E691F" w14:textId="77777777" w:rsidR="006E0488" w:rsidRPr="006E0488" w:rsidRDefault="006E0488" w:rsidP="006E0488">
            <w:pPr>
              <w:shd w:val="clear" w:color="auto" w:fill="FFFFFF"/>
              <w:spacing w:after="0" w:line="240" w:lineRule="auto"/>
              <w:jc w:val="right"/>
              <w:rPr>
                <w:rFonts w:ascii="Overpass" w:eastAsia="Times New Roman" w:hAnsi="Overpass" w:cs="Calibri"/>
                <w:color w:val="212121"/>
                <w:lang w:eastAsia="it-IT"/>
              </w:rPr>
            </w:pPr>
            <w:r w:rsidRPr="006E0488">
              <w:rPr>
                <w:rFonts w:ascii="Overpass" w:eastAsia="Times New Roman" w:hAnsi="Overpass" w:cs="Calibri"/>
                <w:color w:val="212121"/>
                <w:lang w:eastAsia="it-IT"/>
              </w:rPr>
              <w:t>(1,042)</w:t>
            </w:r>
          </w:p>
        </w:tc>
      </w:tr>
      <w:tr w:rsidR="006E0488" w:rsidRPr="006E0488" w14:paraId="582774B6" w14:textId="77777777" w:rsidTr="006E0488">
        <w:tc>
          <w:tcPr>
            <w:tcW w:w="4678" w:type="dxa"/>
            <w:vAlign w:val="bottom"/>
            <w:hideMark/>
          </w:tcPr>
          <w:p w14:paraId="3DD5641E" w14:textId="77777777" w:rsidR="006E0488" w:rsidRPr="006E0488" w:rsidRDefault="006E0488" w:rsidP="006E0488">
            <w:pPr>
              <w:shd w:val="clear" w:color="auto" w:fill="FFFFFF"/>
              <w:spacing w:after="0" w:line="240" w:lineRule="auto"/>
              <w:jc w:val="both"/>
              <w:rPr>
                <w:rFonts w:ascii="Overpass" w:eastAsia="Times New Roman" w:hAnsi="Overpass" w:cs="Calibri"/>
                <w:color w:val="212121"/>
                <w:lang w:eastAsia="it-IT"/>
              </w:rPr>
            </w:pPr>
            <w:r w:rsidRPr="006E0488">
              <w:rPr>
                <w:rFonts w:ascii="Overpass" w:eastAsia="Times New Roman" w:hAnsi="Overpass" w:cs="Calibri"/>
                <w:color w:val="212121"/>
                <w:lang w:eastAsia="it-IT"/>
              </w:rPr>
              <w:lastRenderedPageBreak/>
              <w:t>Foreign currency translation adjustment, net of nil income taxes</w:t>
            </w:r>
          </w:p>
        </w:tc>
        <w:tc>
          <w:tcPr>
            <w:tcW w:w="3115" w:type="dxa"/>
            <w:gridSpan w:val="2"/>
            <w:tcBorders>
              <w:bottom w:val="single" w:sz="8" w:space="0" w:color="000000"/>
            </w:tcBorders>
            <w:tcMar>
              <w:top w:w="15" w:type="dxa"/>
              <w:left w:w="15" w:type="dxa"/>
              <w:bottom w:w="15" w:type="dxa"/>
              <w:right w:w="0" w:type="dxa"/>
            </w:tcMar>
            <w:vAlign w:val="bottom"/>
            <w:hideMark/>
          </w:tcPr>
          <w:p w14:paraId="3E6EAD43" w14:textId="77777777" w:rsidR="006E0488" w:rsidRPr="006E0488" w:rsidRDefault="006E0488" w:rsidP="006E0488">
            <w:pPr>
              <w:shd w:val="clear" w:color="auto" w:fill="FFFFFF"/>
              <w:spacing w:after="0" w:line="240" w:lineRule="auto"/>
              <w:jc w:val="right"/>
              <w:rPr>
                <w:rFonts w:ascii="Overpass" w:eastAsia="Times New Roman" w:hAnsi="Overpass" w:cs="Calibri"/>
                <w:color w:val="212121"/>
                <w:lang w:eastAsia="it-IT"/>
              </w:rPr>
            </w:pPr>
            <w:r w:rsidRPr="006E0488">
              <w:rPr>
                <w:rFonts w:ascii="Overpass" w:eastAsia="Times New Roman" w:hAnsi="Overpass" w:cs="Calibri"/>
                <w:color w:val="212121"/>
                <w:lang w:eastAsia="it-IT"/>
              </w:rPr>
              <w:t>(1,415)</w:t>
            </w:r>
          </w:p>
        </w:tc>
        <w:tc>
          <w:tcPr>
            <w:tcW w:w="0" w:type="auto"/>
            <w:vAlign w:val="bottom"/>
            <w:hideMark/>
          </w:tcPr>
          <w:p w14:paraId="36F9BF6D" w14:textId="677F72C4" w:rsidR="006E0488" w:rsidRPr="006E0488" w:rsidRDefault="006E0488" w:rsidP="006E0488">
            <w:pPr>
              <w:shd w:val="clear" w:color="auto" w:fill="FFFFFF"/>
              <w:spacing w:after="0" w:line="240" w:lineRule="auto"/>
              <w:jc w:val="right"/>
              <w:rPr>
                <w:rFonts w:ascii="Overpass" w:eastAsia="Times New Roman" w:hAnsi="Overpass" w:cs="Calibri"/>
                <w:color w:val="212121"/>
                <w:lang w:eastAsia="it-IT"/>
              </w:rPr>
            </w:pPr>
          </w:p>
        </w:tc>
        <w:tc>
          <w:tcPr>
            <w:tcW w:w="1480" w:type="dxa"/>
            <w:tcBorders>
              <w:bottom w:val="single" w:sz="8" w:space="0" w:color="000000"/>
            </w:tcBorders>
            <w:tcMar>
              <w:top w:w="15" w:type="dxa"/>
              <w:left w:w="15" w:type="dxa"/>
              <w:bottom w:w="15" w:type="dxa"/>
              <w:right w:w="0" w:type="dxa"/>
            </w:tcMar>
            <w:vAlign w:val="bottom"/>
            <w:hideMark/>
          </w:tcPr>
          <w:p w14:paraId="26319B81" w14:textId="77777777" w:rsidR="006E0488" w:rsidRPr="006E0488" w:rsidRDefault="006E0488" w:rsidP="006E0488">
            <w:pPr>
              <w:shd w:val="clear" w:color="auto" w:fill="FFFFFF"/>
              <w:spacing w:after="0" w:line="240" w:lineRule="auto"/>
              <w:jc w:val="right"/>
              <w:rPr>
                <w:rFonts w:ascii="Overpass" w:eastAsia="Times New Roman" w:hAnsi="Overpass" w:cs="Calibri"/>
                <w:color w:val="212121"/>
                <w:lang w:eastAsia="it-IT"/>
              </w:rPr>
            </w:pPr>
            <w:r w:rsidRPr="006E0488">
              <w:rPr>
                <w:rFonts w:ascii="Overpass" w:eastAsia="Times New Roman" w:hAnsi="Overpass" w:cs="Calibri"/>
                <w:color w:val="212121"/>
                <w:lang w:eastAsia="it-IT"/>
              </w:rPr>
              <w:t>(7,037)</w:t>
            </w:r>
          </w:p>
        </w:tc>
      </w:tr>
      <w:tr w:rsidR="006E0488" w:rsidRPr="006E0488" w14:paraId="1CEA91C4" w14:textId="77777777" w:rsidTr="006E0488">
        <w:tc>
          <w:tcPr>
            <w:tcW w:w="4678" w:type="dxa"/>
            <w:vAlign w:val="bottom"/>
            <w:hideMark/>
          </w:tcPr>
          <w:p w14:paraId="7CB54394" w14:textId="77777777" w:rsidR="006E0488" w:rsidRPr="006E0488" w:rsidRDefault="006E0488" w:rsidP="006E0488">
            <w:pPr>
              <w:shd w:val="clear" w:color="auto" w:fill="FFFFFF"/>
              <w:spacing w:after="0" w:line="240" w:lineRule="auto"/>
              <w:jc w:val="both"/>
              <w:rPr>
                <w:rFonts w:ascii="Overpass" w:eastAsia="Times New Roman" w:hAnsi="Overpass" w:cs="Calibri"/>
                <w:color w:val="212121"/>
                <w:lang w:eastAsia="it-IT"/>
              </w:rPr>
            </w:pPr>
            <w:r w:rsidRPr="006E0488">
              <w:rPr>
                <w:rFonts w:ascii="Overpass" w:eastAsia="Times New Roman" w:hAnsi="Overpass" w:cs="Calibri"/>
                <w:color w:val="212121"/>
                <w:lang w:eastAsia="it-IT"/>
              </w:rPr>
              <w:t> </w:t>
            </w:r>
          </w:p>
        </w:tc>
        <w:tc>
          <w:tcPr>
            <w:tcW w:w="3115" w:type="dxa"/>
            <w:gridSpan w:val="2"/>
            <w:vAlign w:val="bottom"/>
            <w:hideMark/>
          </w:tcPr>
          <w:p w14:paraId="50EE8052" w14:textId="1F62ADAF" w:rsidR="006E0488" w:rsidRPr="006E0488" w:rsidRDefault="006E0488" w:rsidP="006E0488">
            <w:pPr>
              <w:shd w:val="clear" w:color="auto" w:fill="FFFFFF"/>
              <w:spacing w:after="0" w:line="240" w:lineRule="auto"/>
              <w:jc w:val="right"/>
              <w:rPr>
                <w:rFonts w:ascii="Overpass" w:eastAsia="Times New Roman" w:hAnsi="Overpass" w:cs="Calibri"/>
                <w:color w:val="212121"/>
                <w:lang w:eastAsia="it-IT"/>
              </w:rPr>
            </w:pPr>
          </w:p>
        </w:tc>
        <w:tc>
          <w:tcPr>
            <w:tcW w:w="0" w:type="auto"/>
            <w:vAlign w:val="bottom"/>
            <w:hideMark/>
          </w:tcPr>
          <w:p w14:paraId="68BDB7DB" w14:textId="27ADDC4E" w:rsidR="006E0488" w:rsidRPr="006E0488" w:rsidRDefault="006E0488" w:rsidP="006E0488">
            <w:pPr>
              <w:shd w:val="clear" w:color="auto" w:fill="FFFFFF"/>
              <w:spacing w:after="0" w:line="240" w:lineRule="auto"/>
              <w:jc w:val="right"/>
              <w:rPr>
                <w:rFonts w:ascii="Overpass" w:eastAsia="Times New Roman" w:hAnsi="Overpass" w:cs="Calibri"/>
                <w:color w:val="212121"/>
                <w:lang w:eastAsia="it-IT"/>
              </w:rPr>
            </w:pPr>
          </w:p>
        </w:tc>
        <w:tc>
          <w:tcPr>
            <w:tcW w:w="1480" w:type="dxa"/>
            <w:vAlign w:val="bottom"/>
            <w:hideMark/>
          </w:tcPr>
          <w:p w14:paraId="5143463E" w14:textId="53E96BFC" w:rsidR="006E0488" w:rsidRPr="006E0488" w:rsidRDefault="006E0488" w:rsidP="006E0488">
            <w:pPr>
              <w:shd w:val="clear" w:color="auto" w:fill="FFFFFF"/>
              <w:spacing w:after="0" w:line="240" w:lineRule="auto"/>
              <w:jc w:val="right"/>
              <w:rPr>
                <w:rFonts w:ascii="Overpass" w:eastAsia="Times New Roman" w:hAnsi="Overpass" w:cs="Calibri"/>
                <w:color w:val="212121"/>
                <w:lang w:eastAsia="it-IT"/>
              </w:rPr>
            </w:pPr>
          </w:p>
        </w:tc>
      </w:tr>
      <w:tr w:rsidR="006E0488" w:rsidRPr="006E0488" w14:paraId="294C13BE" w14:textId="77777777" w:rsidTr="006E0488">
        <w:tc>
          <w:tcPr>
            <w:tcW w:w="4678" w:type="dxa"/>
            <w:vAlign w:val="bottom"/>
            <w:hideMark/>
          </w:tcPr>
          <w:p w14:paraId="6DE6CC7D" w14:textId="77777777" w:rsidR="006E0488" w:rsidRPr="006E0488" w:rsidRDefault="006E0488" w:rsidP="006E0488">
            <w:pPr>
              <w:shd w:val="clear" w:color="auto" w:fill="FFFFFF"/>
              <w:spacing w:after="0" w:line="240" w:lineRule="auto"/>
              <w:jc w:val="both"/>
              <w:rPr>
                <w:rFonts w:ascii="Overpass" w:eastAsia="Times New Roman" w:hAnsi="Overpass" w:cs="Calibri"/>
                <w:color w:val="212121"/>
                <w:lang w:eastAsia="it-IT"/>
              </w:rPr>
            </w:pPr>
            <w:r w:rsidRPr="006E0488">
              <w:rPr>
                <w:rFonts w:ascii="Overpass" w:eastAsia="Times New Roman" w:hAnsi="Overpass" w:cs="Calibri"/>
                <w:b/>
                <w:bCs/>
                <w:color w:val="212121"/>
                <w:lang w:eastAsia="it-IT"/>
              </w:rPr>
              <w:t>Total other comprehensive loss</w:t>
            </w:r>
          </w:p>
        </w:tc>
        <w:tc>
          <w:tcPr>
            <w:tcW w:w="3115" w:type="dxa"/>
            <w:gridSpan w:val="2"/>
            <w:tcBorders>
              <w:bottom w:val="single" w:sz="8" w:space="0" w:color="000000"/>
            </w:tcBorders>
            <w:tcMar>
              <w:top w:w="15" w:type="dxa"/>
              <w:left w:w="15" w:type="dxa"/>
              <w:bottom w:w="15" w:type="dxa"/>
              <w:right w:w="0" w:type="dxa"/>
            </w:tcMar>
            <w:vAlign w:val="bottom"/>
            <w:hideMark/>
          </w:tcPr>
          <w:p w14:paraId="4A3FD1C5" w14:textId="77777777" w:rsidR="006E0488" w:rsidRPr="006E0488" w:rsidRDefault="006E0488" w:rsidP="006E0488">
            <w:pPr>
              <w:shd w:val="clear" w:color="auto" w:fill="FFFFFF"/>
              <w:spacing w:after="0" w:line="240" w:lineRule="auto"/>
              <w:jc w:val="right"/>
              <w:rPr>
                <w:rFonts w:ascii="Overpass" w:eastAsia="Times New Roman" w:hAnsi="Overpass" w:cs="Calibri"/>
                <w:color w:val="212121"/>
                <w:lang w:eastAsia="it-IT"/>
              </w:rPr>
            </w:pPr>
            <w:r w:rsidRPr="006E0488">
              <w:rPr>
                <w:rFonts w:ascii="Overpass" w:eastAsia="Times New Roman" w:hAnsi="Overpass" w:cs="Calibri"/>
                <w:b/>
                <w:bCs/>
                <w:color w:val="212121"/>
                <w:lang w:eastAsia="it-IT"/>
              </w:rPr>
              <w:t>(1,590)</w:t>
            </w:r>
          </w:p>
        </w:tc>
        <w:tc>
          <w:tcPr>
            <w:tcW w:w="0" w:type="auto"/>
            <w:vAlign w:val="bottom"/>
            <w:hideMark/>
          </w:tcPr>
          <w:p w14:paraId="0D5F3DDF" w14:textId="3CE07F9C" w:rsidR="006E0488" w:rsidRPr="006E0488" w:rsidRDefault="006E0488" w:rsidP="006E0488">
            <w:pPr>
              <w:shd w:val="clear" w:color="auto" w:fill="FFFFFF"/>
              <w:spacing w:after="0" w:line="240" w:lineRule="auto"/>
              <w:jc w:val="right"/>
              <w:rPr>
                <w:rFonts w:ascii="Overpass" w:eastAsia="Times New Roman" w:hAnsi="Overpass" w:cs="Calibri"/>
                <w:color w:val="212121"/>
                <w:lang w:eastAsia="it-IT"/>
              </w:rPr>
            </w:pPr>
          </w:p>
        </w:tc>
        <w:tc>
          <w:tcPr>
            <w:tcW w:w="1480" w:type="dxa"/>
            <w:tcBorders>
              <w:bottom w:val="single" w:sz="8" w:space="0" w:color="000000"/>
            </w:tcBorders>
            <w:tcMar>
              <w:top w:w="15" w:type="dxa"/>
              <w:left w:w="15" w:type="dxa"/>
              <w:bottom w:w="15" w:type="dxa"/>
              <w:right w:w="0" w:type="dxa"/>
            </w:tcMar>
            <w:vAlign w:val="bottom"/>
            <w:hideMark/>
          </w:tcPr>
          <w:p w14:paraId="19D55C8C" w14:textId="77777777" w:rsidR="006E0488" w:rsidRPr="006E0488" w:rsidRDefault="006E0488" w:rsidP="006E0488">
            <w:pPr>
              <w:shd w:val="clear" w:color="auto" w:fill="FFFFFF"/>
              <w:spacing w:after="0" w:line="240" w:lineRule="auto"/>
              <w:jc w:val="right"/>
              <w:rPr>
                <w:rFonts w:ascii="Overpass" w:eastAsia="Times New Roman" w:hAnsi="Overpass" w:cs="Calibri"/>
                <w:color w:val="212121"/>
                <w:lang w:eastAsia="it-IT"/>
              </w:rPr>
            </w:pPr>
            <w:r w:rsidRPr="006E0488">
              <w:rPr>
                <w:rFonts w:ascii="Overpass" w:eastAsia="Times New Roman" w:hAnsi="Overpass" w:cs="Calibri"/>
                <w:b/>
                <w:bCs/>
                <w:color w:val="212121"/>
                <w:lang w:eastAsia="it-IT"/>
              </w:rPr>
              <w:t>(8,079)</w:t>
            </w:r>
          </w:p>
        </w:tc>
      </w:tr>
      <w:tr w:rsidR="006E0488" w:rsidRPr="006E0488" w14:paraId="55747EDB" w14:textId="77777777" w:rsidTr="006E0488">
        <w:tc>
          <w:tcPr>
            <w:tcW w:w="4678" w:type="dxa"/>
            <w:vAlign w:val="bottom"/>
            <w:hideMark/>
          </w:tcPr>
          <w:p w14:paraId="669E324B" w14:textId="77777777" w:rsidR="006E0488" w:rsidRPr="006E0488" w:rsidRDefault="006E0488" w:rsidP="006E0488">
            <w:pPr>
              <w:shd w:val="clear" w:color="auto" w:fill="FFFFFF"/>
              <w:spacing w:after="0" w:line="240" w:lineRule="auto"/>
              <w:jc w:val="both"/>
              <w:rPr>
                <w:rFonts w:ascii="Overpass" w:eastAsia="Times New Roman" w:hAnsi="Overpass" w:cs="Calibri"/>
                <w:color w:val="212121"/>
                <w:lang w:eastAsia="it-IT"/>
              </w:rPr>
            </w:pPr>
            <w:r w:rsidRPr="006E0488">
              <w:rPr>
                <w:rFonts w:ascii="Overpass" w:eastAsia="Times New Roman" w:hAnsi="Overpass" w:cs="Calibri"/>
                <w:color w:val="212121"/>
                <w:lang w:eastAsia="it-IT"/>
              </w:rPr>
              <w:t> </w:t>
            </w:r>
          </w:p>
        </w:tc>
        <w:tc>
          <w:tcPr>
            <w:tcW w:w="3115" w:type="dxa"/>
            <w:gridSpan w:val="2"/>
            <w:vAlign w:val="bottom"/>
            <w:hideMark/>
          </w:tcPr>
          <w:p w14:paraId="5DFC5204" w14:textId="0B8C4E14" w:rsidR="006E0488" w:rsidRPr="006E0488" w:rsidRDefault="006E0488" w:rsidP="006E0488">
            <w:pPr>
              <w:shd w:val="clear" w:color="auto" w:fill="FFFFFF"/>
              <w:spacing w:after="0" w:line="240" w:lineRule="auto"/>
              <w:jc w:val="right"/>
              <w:rPr>
                <w:rFonts w:ascii="Overpass" w:eastAsia="Times New Roman" w:hAnsi="Overpass" w:cs="Calibri"/>
                <w:color w:val="212121"/>
                <w:lang w:eastAsia="it-IT"/>
              </w:rPr>
            </w:pPr>
          </w:p>
        </w:tc>
        <w:tc>
          <w:tcPr>
            <w:tcW w:w="0" w:type="auto"/>
            <w:vAlign w:val="bottom"/>
            <w:hideMark/>
          </w:tcPr>
          <w:p w14:paraId="33E35D70" w14:textId="209C16E8" w:rsidR="006E0488" w:rsidRPr="006E0488" w:rsidRDefault="006E0488" w:rsidP="006E0488">
            <w:pPr>
              <w:shd w:val="clear" w:color="auto" w:fill="FFFFFF"/>
              <w:spacing w:after="0" w:line="240" w:lineRule="auto"/>
              <w:jc w:val="right"/>
              <w:rPr>
                <w:rFonts w:ascii="Overpass" w:eastAsia="Times New Roman" w:hAnsi="Overpass" w:cs="Calibri"/>
                <w:color w:val="212121"/>
                <w:lang w:eastAsia="it-IT"/>
              </w:rPr>
            </w:pPr>
          </w:p>
        </w:tc>
        <w:tc>
          <w:tcPr>
            <w:tcW w:w="1480" w:type="dxa"/>
            <w:vAlign w:val="bottom"/>
            <w:hideMark/>
          </w:tcPr>
          <w:p w14:paraId="34846070" w14:textId="1F277A41" w:rsidR="006E0488" w:rsidRPr="006E0488" w:rsidRDefault="006E0488" w:rsidP="006E0488">
            <w:pPr>
              <w:shd w:val="clear" w:color="auto" w:fill="FFFFFF"/>
              <w:spacing w:after="0" w:line="240" w:lineRule="auto"/>
              <w:jc w:val="right"/>
              <w:rPr>
                <w:rFonts w:ascii="Overpass" w:eastAsia="Times New Roman" w:hAnsi="Overpass" w:cs="Calibri"/>
                <w:color w:val="212121"/>
                <w:lang w:eastAsia="it-IT"/>
              </w:rPr>
            </w:pPr>
          </w:p>
        </w:tc>
      </w:tr>
      <w:tr w:rsidR="006E0488" w:rsidRPr="006E0488" w14:paraId="2D432192" w14:textId="77777777" w:rsidTr="006E0488">
        <w:tc>
          <w:tcPr>
            <w:tcW w:w="4678" w:type="dxa"/>
            <w:vAlign w:val="bottom"/>
            <w:hideMark/>
          </w:tcPr>
          <w:p w14:paraId="71336D0D" w14:textId="77777777" w:rsidR="006E0488" w:rsidRPr="006E0488" w:rsidRDefault="006E0488" w:rsidP="006E0488">
            <w:pPr>
              <w:shd w:val="clear" w:color="auto" w:fill="FFFFFF"/>
              <w:spacing w:after="0" w:line="240" w:lineRule="auto"/>
              <w:jc w:val="both"/>
              <w:rPr>
                <w:rFonts w:ascii="Overpass" w:eastAsia="Times New Roman" w:hAnsi="Overpass" w:cs="Calibri"/>
                <w:color w:val="212121"/>
                <w:lang w:eastAsia="it-IT"/>
              </w:rPr>
            </w:pPr>
            <w:r w:rsidRPr="006E0488">
              <w:rPr>
                <w:rFonts w:ascii="Overpass" w:eastAsia="Times New Roman" w:hAnsi="Overpass" w:cs="Calibri"/>
                <w:b/>
                <w:bCs/>
                <w:color w:val="212121"/>
                <w:lang w:eastAsia="it-IT"/>
              </w:rPr>
              <w:t>Total comprehensive loss</w:t>
            </w:r>
          </w:p>
        </w:tc>
        <w:tc>
          <w:tcPr>
            <w:tcW w:w="3115" w:type="dxa"/>
            <w:gridSpan w:val="2"/>
            <w:tcBorders>
              <w:bottom w:val="single" w:sz="8" w:space="0" w:color="000000"/>
            </w:tcBorders>
            <w:tcMar>
              <w:top w:w="15" w:type="dxa"/>
              <w:left w:w="15" w:type="dxa"/>
              <w:bottom w:w="15" w:type="dxa"/>
              <w:right w:w="0" w:type="dxa"/>
            </w:tcMar>
            <w:vAlign w:val="bottom"/>
            <w:hideMark/>
          </w:tcPr>
          <w:p w14:paraId="5CEB6F3A" w14:textId="77777777" w:rsidR="006E0488" w:rsidRPr="006E0488" w:rsidRDefault="006E0488" w:rsidP="006E0488">
            <w:pPr>
              <w:shd w:val="clear" w:color="auto" w:fill="FFFFFF"/>
              <w:spacing w:after="0" w:line="240" w:lineRule="auto"/>
              <w:jc w:val="right"/>
              <w:rPr>
                <w:rFonts w:ascii="Overpass" w:eastAsia="Times New Roman" w:hAnsi="Overpass" w:cs="Calibri"/>
                <w:color w:val="212121"/>
                <w:lang w:eastAsia="it-IT"/>
              </w:rPr>
            </w:pPr>
            <w:r w:rsidRPr="006E0488">
              <w:rPr>
                <w:rFonts w:ascii="Overpass" w:eastAsia="Times New Roman" w:hAnsi="Overpass" w:cs="Calibri"/>
                <w:b/>
                <w:bCs/>
                <w:color w:val="212121"/>
                <w:lang w:eastAsia="it-IT"/>
              </w:rPr>
              <w:t>(259,815)</w:t>
            </w:r>
          </w:p>
        </w:tc>
        <w:tc>
          <w:tcPr>
            <w:tcW w:w="0" w:type="auto"/>
            <w:vAlign w:val="bottom"/>
            <w:hideMark/>
          </w:tcPr>
          <w:p w14:paraId="4F16E64D" w14:textId="4889DD63" w:rsidR="006E0488" w:rsidRPr="006E0488" w:rsidRDefault="006E0488" w:rsidP="006E0488">
            <w:pPr>
              <w:shd w:val="clear" w:color="auto" w:fill="FFFFFF"/>
              <w:spacing w:after="0" w:line="240" w:lineRule="auto"/>
              <w:jc w:val="right"/>
              <w:rPr>
                <w:rFonts w:ascii="Overpass" w:eastAsia="Times New Roman" w:hAnsi="Overpass" w:cs="Calibri"/>
                <w:color w:val="212121"/>
                <w:lang w:eastAsia="it-IT"/>
              </w:rPr>
            </w:pPr>
          </w:p>
        </w:tc>
        <w:tc>
          <w:tcPr>
            <w:tcW w:w="1480" w:type="dxa"/>
            <w:tcBorders>
              <w:bottom w:val="single" w:sz="8" w:space="0" w:color="000000"/>
            </w:tcBorders>
            <w:tcMar>
              <w:top w:w="15" w:type="dxa"/>
              <w:left w:w="15" w:type="dxa"/>
              <w:bottom w:w="15" w:type="dxa"/>
              <w:right w:w="0" w:type="dxa"/>
            </w:tcMar>
            <w:vAlign w:val="bottom"/>
            <w:hideMark/>
          </w:tcPr>
          <w:p w14:paraId="3C8DF6D5" w14:textId="77777777" w:rsidR="006E0488" w:rsidRPr="006E0488" w:rsidRDefault="006E0488" w:rsidP="006E0488">
            <w:pPr>
              <w:shd w:val="clear" w:color="auto" w:fill="FFFFFF"/>
              <w:spacing w:after="0" w:line="240" w:lineRule="auto"/>
              <w:jc w:val="right"/>
              <w:rPr>
                <w:rFonts w:ascii="Overpass" w:eastAsia="Times New Roman" w:hAnsi="Overpass" w:cs="Calibri"/>
                <w:color w:val="212121"/>
                <w:lang w:eastAsia="it-IT"/>
              </w:rPr>
            </w:pPr>
            <w:r w:rsidRPr="006E0488">
              <w:rPr>
                <w:rFonts w:ascii="Overpass" w:eastAsia="Times New Roman" w:hAnsi="Overpass" w:cs="Calibri"/>
                <w:b/>
                <w:bCs/>
                <w:color w:val="212121"/>
                <w:lang w:eastAsia="it-IT"/>
              </w:rPr>
              <w:t>(167,654)</w:t>
            </w:r>
          </w:p>
        </w:tc>
      </w:tr>
      <w:tr w:rsidR="006E0488" w:rsidRPr="006E0488" w14:paraId="01A6EFE9" w14:textId="77777777" w:rsidTr="006E0488">
        <w:tc>
          <w:tcPr>
            <w:tcW w:w="4678" w:type="dxa"/>
            <w:vAlign w:val="bottom"/>
            <w:hideMark/>
          </w:tcPr>
          <w:p w14:paraId="036BAFDD" w14:textId="77777777" w:rsidR="006E0488" w:rsidRPr="006E0488" w:rsidRDefault="006E0488" w:rsidP="006E0488">
            <w:pPr>
              <w:shd w:val="clear" w:color="auto" w:fill="FFFFFF"/>
              <w:spacing w:after="0" w:line="240" w:lineRule="auto"/>
              <w:jc w:val="both"/>
              <w:rPr>
                <w:rFonts w:ascii="Overpass" w:eastAsia="Times New Roman" w:hAnsi="Overpass" w:cs="Calibri"/>
                <w:color w:val="212121"/>
                <w:lang w:eastAsia="it-IT"/>
              </w:rPr>
            </w:pPr>
            <w:r w:rsidRPr="006E0488">
              <w:rPr>
                <w:rFonts w:ascii="Overpass" w:eastAsia="Times New Roman" w:hAnsi="Overpass" w:cs="Calibri"/>
                <w:color w:val="212121"/>
                <w:lang w:eastAsia="it-IT"/>
              </w:rPr>
              <w:t>Less: Total comprehensive loss attributable to noncontrolling interests</w:t>
            </w:r>
          </w:p>
        </w:tc>
        <w:tc>
          <w:tcPr>
            <w:tcW w:w="3115" w:type="dxa"/>
            <w:gridSpan w:val="2"/>
            <w:tcBorders>
              <w:top w:val="single" w:sz="8" w:space="0" w:color="000000"/>
              <w:bottom w:val="single" w:sz="8" w:space="0" w:color="000000"/>
            </w:tcBorders>
            <w:tcMar>
              <w:top w:w="15" w:type="dxa"/>
              <w:left w:w="15" w:type="dxa"/>
              <w:bottom w:w="15" w:type="dxa"/>
              <w:right w:w="0" w:type="dxa"/>
            </w:tcMar>
            <w:vAlign w:val="bottom"/>
            <w:hideMark/>
          </w:tcPr>
          <w:p w14:paraId="5546723F" w14:textId="77777777" w:rsidR="006E0488" w:rsidRPr="006E0488" w:rsidRDefault="006E0488" w:rsidP="006E0488">
            <w:pPr>
              <w:shd w:val="clear" w:color="auto" w:fill="FFFFFF"/>
              <w:spacing w:after="0" w:line="240" w:lineRule="auto"/>
              <w:jc w:val="right"/>
              <w:rPr>
                <w:rFonts w:ascii="Overpass" w:eastAsia="Times New Roman" w:hAnsi="Overpass" w:cs="Calibri"/>
                <w:color w:val="212121"/>
                <w:lang w:eastAsia="it-IT"/>
              </w:rPr>
            </w:pPr>
            <w:r w:rsidRPr="006E0488">
              <w:rPr>
                <w:rFonts w:ascii="Overpass" w:eastAsia="Times New Roman" w:hAnsi="Overpass" w:cs="Calibri"/>
                <w:color w:val="212121"/>
                <w:lang w:eastAsia="it-IT"/>
              </w:rPr>
              <w:t>(356)</w:t>
            </w:r>
          </w:p>
        </w:tc>
        <w:tc>
          <w:tcPr>
            <w:tcW w:w="0" w:type="auto"/>
            <w:vAlign w:val="bottom"/>
            <w:hideMark/>
          </w:tcPr>
          <w:p w14:paraId="0A99C73D" w14:textId="6BFF0DA2" w:rsidR="006E0488" w:rsidRPr="006E0488" w:rsidRDefault="006E0488" w:rsidP="006E0488">
            <w:pPr>
              <w:shd w:val="clear" w:color="auto" w:fill="FFFFFF"/>
              <w:spacing w:after="0" w:line="240" w:lineRule="auto"/>
              <w:jc w:val="right"/>
              <w:rPr>
                <w:rFonts w:ascii="Overpass" w:eastAsia="Times New Roman" w:hAnsi="Overpass" w:cs="Calibri"/>
                <w:color w:val="212121"/>
                <w:lang w:eastAsia="it-IT"/>
              </w:rPr>
            </w:pPr>
          </w:p>
        </w:tc>
        <w:tc>
          <w:tcPr>
            <w:tcW w:w="1480" w:type="dxa"/>
            <w:tcBorders>
              <w:top w:val="single" w:sz="8" w:space="0" w:color="000000"/>
              <w:bottom w:val="single" w:sz="8" w:space="0" w:color="000000"/>
            </w:tcBorders>
            <w:tcMar>
              <w:top w:w="15" w:type="dxa"/>
              <w:left w:w="15" w:type="dxa"/>
              <w:bottom w:w="15" w:type="dxa"/>
              <w:right w:w="0" w:type="dxa"/>
            </w:tcMar>
            <w:vAlign w:val="bottom"/>
            <w:hideMark/>
          </w:tcPr>
          <w:p w14:paraId="487D154C" w14:textId="77777777" w:rsidR="006E0488" w:rsidRPr="006E0488" w:rsidRDefault="006E0488" w:rsidP="006E0488">
            <w:pPr>
              <w:shd w:val="clear" w:color="auto" w:fill="FFFFFF"/>
              <w:spacing w:after="0" w:line="240" w:lineRule="auto"/>
              <w:jc w:val="right"/>
              <w:rPr>
                <w:rFonts w:ascii="Overpass" w:eastAsia="Times New Roman" w:hAnsi="Overpass" w:cs="Calibri"/>
                <w:color w:val="212121"/>
                <w:lang w:eastAsia="it-IT"/>
              </w:rPr>
            </w:pPr>
            <w:r w:rsidRPr="006E0488">
              <w:rPr>
                <w:rFonts w:ascii="Overpass" w:eastAsia="Times New Roman" w:hAnsi="Overpass" w:cs="Calibri"/>
                <w:color w:val="212121"/>
                <w:lang w:eastAsia="it-IT"/>
              </w:rPr>
              <w:t>(1,918)</w:t>
            </w:r>
          </w:p>
        </w:tc>
      </w:tr>
      <w:tr w:rsidR="006E0488" w:rsidRPr="006E0488" w14:paraId="10CCF1D6" w14:textId="77777777" w:rsidTr="006E0488">
        <w:tc>
          <w:tcPr>
            <w:tcW w:w="4678" w:type="dxa"/>
            <w:vAlign w:val="bottom"/>
            <w:hideMark/>
          </w:tcPr>
          <w:p w14:paraId="7C4E7550" w14:textId="77777777" w:rsidR="006E0488" w:rsidRPr="006E0488" w:rsidRDefault="006E0488" w:rsidP="006E0488">
            <w:pPr>
              <w:shd w:val="clear" w:color="auto" w:fill="FFFFFF"/>
              <w:spacing w:after="0" w:line="240" w:lineRule="auto"/>
              <w:jc w:val="both"/>
              <w:rPr>
                <w:rFonts w:ascii="Overpass" w:eastAsia="Times New Roman" w:hAnsi="Overpass" w:cs="Calibri"/>
                <w:color w:val="212121"/>
                <w:lang w:eastAsia="it-IT"/>
              </w:rPr>
            </w:pPr>
            <w:r w:rsidRPr="006E0488">
              <w:rPr>
                <w:rFonts w:ascii="Overpass" w:eastAsia="Times New Roman" w:hAnsi="Overpass" w:cs="Calibri"/>
                <w:b/>
                <w:bCs/>
                <w:color w:val="212121"/>
                <w:lang w:eastAsia="it-IT"/>
              </w:rPr>
              <w:t>Total comprehensive loss attributable to ordinary shareholders</w:t>
            </w:r>
          </w:p>
        </w:tc>
        <w:tc>
          <w:tcPr>
            <w:tcW w:w="3115" w:type="dxa"/>
            <w:gridSpan w:val="2"/>
            <w:tcBorders>
              <w:bottom w:val="double" w:sz="6" w:space="0" w:color="000000"/>
            </w:tcBorders>
            <w:tcMar>
              <w:top w:w="15" w:type="dxa"/>
              <w:left w:w="15" w:type="dxa"/>
              <w:bottom w:w="15" w:type="dxa"/>
              <w:right w:w="0" w:type="dxa"/>
            </w:tcMar>
            <w:vAlign w:val="bottom"/>
            <w:hideMark/>
          </w:tcPr>
          <w:p w14:paraId="68F77CB1" w14:textId="77777777" w:rsidR="006E0488" w:rsidRPr="006E0488" w:rsidRDefault="006E0488" w:rsidP="006E0488">
            <w:pPr>
              <w:shd w:val="clear" w:color="auto" w:fill="FFFFFF"/>
              <w:spacing w:after="0" w:line="240" w:lineRule="auto"/>
              <w:jc w:val="right"/>
              <w:rPr>
                <w:rFonts w:ascii="Overpass" w:eastAsia="Times New Roman" w:hAnsi="Overpass" w:cs="Calibri"/>
                <w:color w:val="212121"/>
                <w:lang w:eastAsia="it-IT"/>
              </w:rPr>
            </w:pPr>
            <w:r w:rsidRPr="006E0488">
              <w:rPr>
                <w:rFonts w:ascii="Overpass" w:eastAsia="Times New Roman" w:hAnsi="Overpass" w:cs="Calibri"/>
                <w:b/>
                <w:bCs/>
                <w:color w:val="212121"/>
                <w:lang w:eastAsia="it-IT"/>
              </w:rPr>
              <w:t>(259,459)</w:t>
            </w:r>
          </w:p>
        </w:tc>
        <w:tc>
          <w:tcPr>
            <w:tcW w:w="0" w:type="auto"/>
            <w:vAlign w:val="bottom"/>
            <w:hideMark/>
          </w:tcPr>
          <w:p w14:paraId="797776A0" w14:textId="32BAE48E" w:rsidR="006E0488" w:rsidRPr="006E0488" w:rsidRDefault="006E0488" w:rsidP="006E0488">
            <w:pPr>
              <w:shd w:val="clear" w:color="auto" w:fill="FFFFFF"/>
              <w:spacing w:after="0" w:line="240" w:lineRule="auto"/>
              <w:jc w:val="right"/>
              <w:rPr>
                <w:rFonts w:ascii="Overpass" w:eastAsia="Times New Roman" w:hAnsi="Overpass" w:cs="Calibri"/>
                <w:color w:val="212121"/>
                <w:lang w:eastAsia="it-IT"/>
              </w:rPr>
            </w:pPr>
          </w:p>
        </w:tc>
        <w:tc>
          <w:tcPr>
            <w:tcW w:w="1480" w:type="dxa"/>
            <w:tcBorders>
              <w:bottom w:val="double" w:sz="6" w:space="0" w:color="000000"/>
            </w:tcBorders>
            <w:tcMar>
              <w:top w:w="15" w:type="dxa"/>
              <w:left w:w="15" w:type="dxa"/>
              <w:bottom w:w="15" w:type="dxa"/>
              <w:right w:w="0" w:type="dxa"/>
            </w:tcMar>
            <w:vAlign w:val="bottom"/>
            <w:hideMark/>
          </w:tcPr>
          <w:p w14:paraId="770EE0A4" w14:textId="77777777" w:rsidR="006E0488" w:rsidRPr="006E0488" w:rsidRDefault="006E0488" w:rsidP="006E0488">
            <w:pPr>
              <w:shd w:val="clear" w:color="auto" w:fill="FFFFFF"/>
              <w:spacing w:after="0" w:line="240" w:lineRule="auto"/>
              <w:jc w:val="right"/>
              <w:rPr>
                <w:rFonts w:ascii="Overpass" w:eastAsia="Times New Roman" w:hAnsi="Overpass" w:cs="Calibri"/>
                <w:color w:val="212121"/>
                <w:lang w:eastAsia="it-IT"/>
              </w:rPr>
            </w:pPr>
            <w:r w:rsidRPr="006E0488">
              <w:rPr>
                <w:rFonts w:ascii="Overpass" w:eastAsia="Times New Roman" w:hAnsi="Overpass" w:cs="Calibri"/>
                <w:b/>
                <w:bCs/>
                <w:color w:val="212121"/>
                <w:lang w:eastAsia="it-IT"/>
              </w:rPr>
              <w:t>(165,736)</w:t>
            </w:r>
          </w:p>
        </w:tc>
      </w:tr>
      <w:tr w:rsidR="006E0488" w:rsidRPr="006E0488" w14:paraId="6DCEBB9E" w14:textId="77777777" w:rsidTr="006E0488">
        <w:tc>
          <w:tcPr>
            <w:tcW w:w="9356" w:type="dxa"/>
            <w:gridSpan w:val="5"/>
            <w:vAlign w:val="bottom"/>
            <w:hideMark/>
          </w:tcPr>
          <w:p w14:paraId="216654C5" w14:textId="77777777" w:rsidR="006E0488" w:rsidRPr="006E0488" w:rsidRDefault="006E0488" w:rsidP="006E0488">
            <w:pPr>
              <w:shd w:val="clear" w:color="auto" w:fill="FFFFFF"/>
              <w:spacing w:after="0" w:line="240" w:lineRule="auto"/>
              <w:jc w:val="both"/>
              <w:rPr>
                <w:rFonts w:ascii="Overpass" w:eastAsia="Times New Roman" w:hAnsi="Overpass" w:cs="Calibri"/>
                <w:color w:val="212121"/>
                <w:lang w:eastAsia="it-IT"/>
              </w:rPr>
            </w:pPr>
            <w:r w:rsidRPr="006E0488">
              <w:rPr>
                <w:rFonts w:ascii="Overpass" w:eastAsia="Times New Roman" w:hAnsi="Overpass" w:cs="Calibri"/>
                <w:color w:val="212121"/>
                <w:lang w:eastAsia="it-IT"/>
              </w:rPr>
              <w:t> </w:t>
            </w:r>
          </w:p>
        </w:tc>
      </w:tr>
    </w:tbl>
    <w:p w14:paraId="2F008320" w14:textId="77777777" w:rsidR="006E0488" w:rsidRPr="006E0488" w:rsidRDefault="006E0488" w:rsidP="006E0488">
      <w:pPr>
        <w:shd w:val="clear" w:color="auto" w:fill="FFFFFF"/>
        <w:spacing w:after="0" w:line="240" w:lineRule="auto"/>
        <w:jc w:val="both"/>
        <w:rPr>
          <w:rFonts w:ascii="Overpass" w:eastAsia="Times New Roman" w:hAnsi="Overpass" w:cs="Calibri"/>
          <w:color w:val="212121"/>
          <w:lang w:eastAsia="it-IT"/>
        </w:rPr>
      </w:pPr>
    </w:p>
    <w:p w14:paraId="41B33DAA" w14:textId="77777777" w:rsidR="006E0488" w:rsidRPr="006E0488" w:rsidRDefault="006E0488" w:rsidP="006E0488">
      <w:pPr>
        <w:shd w:val="clear" w:color="auto" w:fill="FFFFFF"/>
        <w:spacing w:after="0" w:line="240" w:lineRule="auto"/>
        <w:rPr>
          <w:rFonts w:ascii="Overpass" w:eastAsia="Times New Roman" w:hAnsi="Overpass" w:cs="Calibri"/>
          <w:color w:val="212121"/>
          <w:lang w:eastAsia="it-IT"/>
        </w:rPr>
      </w:pPr>
      <w:r w:rsidRPr="006E0488">
        <w:rPr>
          <w:rFonts w:ascii="Overpass" w:eastAsia="Times New Roman" w:hAnsi="Overpass" w:cs="Calibri"/>
          <w:b/>
          <w:bCs/>
          <w:color w:val="212121"/>
          <w:lang w:eastAsia="it-IT"/>
        </w:rPr>
        <w:t>Appendix C</w:t>
      </w:r>
    </w:p>
    <w:p w14:paraId="145170D6" w14:textId="77777777" w:rsidR="006E0488" w:rsidRPr="006E0488" w:rsidRDefault="006E0488" w:rsidP="006E0488">
      <w:pPr>
        <w:shd w:val="clear" w:color="auto" w:fill="FFFFFF"/>
        <w:spacing w:after="0" w:line="240" w:lineRule="auto"/>
        <w:rPr>
          <w:rFonts w:ascii="Overpass" w:eastAsia="Times New Roman" w:hAnsi="Overpass" w:cs="Calibri"/>
          <w:color w:val="212121"/>
          <w:lang w:eastAsia="it-IT"/>
        </w:rPr>
      </w:pPr>
      <w:r w:rsidRPr="006E0488">
        <w:rPr>
          <w:rFonts w:ascii="Overpass" w:eastAsia="Times New Roman" w:hAnsi="Overpass" w:cs="Calibri"/>
          <w:b/>
          <w:bCs/>
          <w:color w:val="212121"/>
          <w:lang w:eastAsia="it-IT"/>
        </w:rPr>
        <w:t>Lotus Technology Inc.</w:t>
      </w:r>
      <w:r w:rsidRPr="006E0488">
        <w:rPr>
          <w:rFonts w:ascii="Overpass" w:eastAsia="Times New Roman" w:hAnsi="Overpass" w:cs="Calibri"/>
          <w:color w:val="212121"/>
          <w:lang w:eastAsia="it-IT"/>
        </w:rPr>
        <w:br/>
      </w:r>
      <w:r w:rsidRPr="006E0488">
        <w:rPr>
          <w:rFonts w:ascii="Overpass" w:eastAsia="Times New Roman" w:hAnsi="Overpass" w:cs="Calibri"/>
          <w:b/>
          <w:bCs/>
          <w:color w:val="212121"/>
          <w:lang w:eastAsia="it-IT"/>
        </w:rPr>
        <w:t>Unaudited Reconciliation of GAAP and Non-GAAP results (Adjusted net loss/Adjusted EBITDA)</w:t>
      </w:r>
    </w:p>
    <w:p w14:paraId="13627F90" w14:textId="77777777" w:rsidR="006E0488" w:rsidRPr="006E0488" w:rsidRDefault="006E0488" w:rsidP="006E0488">
      <w:pPr>
        <w:shd w:val="clear" w:color="auto" w:fill="FFFFFF"/>
        <w:spacing w:after="0" w:line="240" w:lineRule="auto"/>
        <w:rPr>
          <w:rFonts w:ascii="Overpass" w:eastAsia="Times New Roman" w:hAnsi="Overpass" w:cs="Calibri"/>
          <w:color w:val="212121"/>
          <w:lang w:eastAsia="it-IT"/>
        </w:rPr>
      </w:pPr>
      <w:r w:rsidRPr="006E0488">
        <w:rPr>
          <w:rFonts w:ascii="Overpass" w:eastAsia="Times New Roman" w:hAnsi="Overpass" w:cs="Calibri"/>
          <w:color w:val="212121"/>
          <w:lang w:eastAsia="it-IT"/>
        </w:rPr>
        <w:t>(All amounts in thousands)</w:t>
      </w:r>
    </w:p>
    <w:tbl>
      <w:tblPr>
        <w:tblW w:w="9548" w:type="dxa"/>
        <w:tblCellMar>
          <w:top w:w="15" w:type="dxa"/>
          <w:left w:w="15" w:type="dxa"/>
          <w:bottom w:w="15" w:type="dxa"/>
          <w:right w:w="15" w:type="dxa"/>
        </w:tblCellMar>
        <w:tblLook w:val="04A0" w:firstRow="1" w:lastRow="0" w:firstColumn="1" w:lastColumn="0" w:noHBand="0" w:noVBand="1"/>
      </w:tblPr>
      <w:tblGrid>
        <w:gridCol w:w="4253"/>
        <w:gridCol w:w="1661"/>
        <w:gridCol w:w="13"/>
        <w:gridCol w:w="1019"/>
        <w:gridCol w:w="2556"/>
        <w:gridCol w:w="32"/>
        <w:gridCol w:w="14"/>
      </w:tblGrid>
      <w:tr w:rsidR="006E0488" w:rsidRPr="006E0488" w14:paraId="26F881AD" w14:textId="77777777" w:rsidTr="006E0488">
        <w:trPr>
          <w:gridAfter w:val="2"/>
          <w:wAfter w:w="46" w:type="dxa"/>
        </w:trPr>
        <w:tc>
          <w:tcPr>
            <w:tcW w:w="4253" w:type="dxa"/>
            <w:vAlign w:val="bottom"/>
            <w:hideMark/>
          </w:tcPr>
          <w:p w14:paraId="44C4652B" w14:textId="77777777" w:rsidR="006E0488" w:rsidRPr="006E0488" w:rsidRDefault="006E0488" w:rsidP="006E0488">
            <w:pPr>
              <w:shd w:val="clear" w:color="auto" w:fill="FFFFFF"/>
              <w:spacing w:after="0" w:line="240" w:lineRule="auto"/>
              <w:jc w:val="both"/>
              <w:rPr>
                <w:rFonts w:ascii="Overpass" w:eastAsia="Times New Roman" w:hAnsi="Overpass" w:cs="Calibri"/>
                <w:color w:val="212121"/>
                <w:lang w:eastAsia="it-IT"/>
              </w:rPr>
            </w:pPr>
            <w:r w:rsidRPr="006E0488">
              <w:rPr>
                <w:rFonts w:ascii="Overpass" w:eastAsia="Times New Roman" w:hAnsi="Overpass" w:cs="Calibri"/>
                <w:color w:val="212121"/>
                <w:lang w:eastAsia="it-IT"/>
              </w:rPr>
              <w:t> </w:t>
            </w:r>
          </w:p>
        </w:tc>
        <w:tc>
          <w:tcPr>
            <w:tcW w:w="5249" w:type="dxa"/>
            <w:gridSpan w:val="4"/>
            <w:tcBorders>
              <w:bottom w:val="single" w:sz="8" w:space="0" w:color="000000"/>
            </w:tcBorders>
            <w:vAlign w:val="bottom"/>
            <w:hideMark/>
          </w:tcPr>
          <w:p w14:paraId="3D6A02C1" w14:textId="77777777" w:rsidR="006E0488" w:rsidRPr="006E0488" w:rsidRDefault="006E0488" w:rsidP="006E0488">
            <w:pPr>
              <w:shd w:val="clear" w:color="auto" w:fill="FFFFFF"/>
              <w:spacing w:after="0" w:line="240" w:lineRule="auto"/>
              <w:jc w:val="both"/>
              <w:rPr>
                <w:rFonts w:ascii="Overpass" w:eastAsia="Times New Roman" w:hAnsi="Overpass" w:cs="Calibri"/>
                <w:color w:val="212121"/>
                <w:lang w:eastAsia="it-IT"/>
              </w:rPr>
            </w:pPr>
            <w:r w:rsidRPr="006E0488">
              <w:rPr>
                <w:rFonts w:ascii="Overpass" w:eastAsia="Times New Roman" w:hAnsi="Overpass" w:cs="Calibri"/>
                <w:b/>
                <w:bCs/>
                <w:color w:val="212121"/>
                <w:lang w:eastAsia="it-IT"/>
              </w:rPr>
              <w:t>For the Three Months Ended</w:t>
            </w:r>
          </w:p>
        </w:tc>
      </w:tr>
      <w:tr w:rsidR="006E0488" w:rsidRPr="006E0488" w14:paraId="5C699CBE" w14:textId="77777777" w:rsidTr="006E0488">
        <w:tc>
          <w:tcPr>
            <w:tcW w:w="4253" w:type="dxa"/>
            <w:vAlign w:val="bottom"/>
            <w:hideMark/>
          </w:tcPr>
          <w:p w14:paraId="2693A257" w14:textId="77777777" w:rsidR="006E0488" w:rsidRPr="006E0488" w:rsidRDefault="006E0488" w:rsidP="006E0488">
            <w:pPr>
              <w:shd w:val="clear" w:color="auto" w:fill="FFFFFF"/>
              <w:spacing w:after="0" w:line="240" w:lineRule="auto"/>
              <w:jc w:val="both"/>
              <w:rPr>
                <w:rFonts w:ascii="Overpass" w:eastAsia="Times New Roman" w:hAnsi="Overpass" w:cs="Calibri"/>
                <w:color w:val="212121"/>
                <w:lang w:eastAsia="it-IT"/>
              </w:rPr>
            </w:pPr>
            <w:r w:rsidRPr="006E0488">
              <w:rPr>
                <w:rFonts w:ascii="Overpass" w:eastAsia="Times New Roman" w:hAnsi="Overpass" w:cs="Calibri"/>
                <w:color w:val="212121"/>
                <w:lang w:eastAsia="it-IT"/>
              </w:rPr>
              <w:t> </w:t>
            </w:r>
          </w:p>
        </w:tc>
        <w:tc>
          <w:tcPr>
            <w:tcW w:w="1674" w:type="dxa"/>
            <w:gridSpan w:val="2"/>
            <w:tcBorders>
              <w:bottom w:val="single" w:sz="8" w:space="0" w:color="000000"/>
            </w:tcBorders>
            <w:vAlign w:val="bottom"/>
            <w:hideMark/>
          </w:tcPr>
          <w:p w14:paraId="08C7AAF1" w14:textId="77777777" w:rsidR="006E0488" w:rsidRPr="006E0488" w:rsidRDefault="006E0488" w:rsidP="006E0488">
            <w:pPr>
              <w:shd w:val="clear" w:color="auto" w:fill="FFFFFF"/>
              <w:spacing w:after="0" w:line="240" w:lineRule="auto"/>
              <w:jc w:val="both"/>
              <w:rPr>
                <w:rFonts w:ascii="Overpass" w:eastAsia="Times New Roman" w:hAnsi="Overpass" w:cs="Calibri"/>
                <w:color w:val="212121"/>
                <w:lang w:eastAsia="it-IT"/>
              </w:rPr>
            </w:pPr>
            <w:r w:rsidRPr="006E0488">
              <w:rPr>
                <w:rFonts w:ascii="Overpass" w:eastAsia="Times New Roman" w:hAnsi="Overpass" w:cs="Calibri"/>
                <w:b/>
                <w:bCs/>
                <w:color w:val="212121"/>
                <w:lang w:eastAsia="it-IT"/>
              </w:rPr>
              <w:t>Mar 31, 2024</w:t>
            </w:r>
          </w:p>
        </w:tc>
        <w:tc>
          <w:tcPr>
            <w:tcW w:w="1019" w:type="dxa"/>
            <w:vAlign w:val="bottom"/>
            <w:hideMark/>
          </w:tcPr>
          <w:p w14:paraId="6EF59007" w14:textId="77777777" w:rsidR="006E0488" w:rsidRPr="006E0488" w:rsidRDefault="006E0488" w:rsidP="006E0488">
            <w:pPr>
              <w:shd w:val="clear" w:color="auto" w:fill="FFFFFF"/>
              <w:spacing w:after="0" w:line="240" w:lineRule="auto"/>
              <w:jc w:val="both"/>
              <w:rPr>
                <w:rFonts w:ascii="Overpass" w:eastAsia="Times New Roman" w:hAnsi="Overpass" w:cs="Calibri"/>
                <w:color w:val="212121"/>
                <w:lang w:eastAsia="it-IT"/>
              </w:rPr>
            </w:pPr>
            <w:r w:rsidRPr="006E0488">
              <w:rPr>
                <w:rFonts w:ascii="Overpass" w:eastAsia="Times New Roman" w:hAnsi="Overpass" w:cs="Calibri"/>
                <w:color w:val="212121"/>
                <w:lang w:eastAsia="it-IT"/>
              </w:rPr>
              <w:t> </w:t>
            </w:r>
          </w:p>
        </w:tc>
        <w:tc>
          <w:tcPr>
            <w:tcW w:w="2602" w:type="dxa"/>
            <w:gridSpan w:val="3"/>
            <w:tcBorders>
              <w:bottom w:val="single" w:sz="8" w:space="0" w:color="000000"/>
            </w:tcBorders>
            <w:vAlign w:val="bottom"/>
            <w:hideMark/>
          </w:tcPr>
          <w:p w14:paraId="5DA34A63" w14:textId="77777777" w:rsidR="006E0488" w:rsidRPr="006E0488" w:rsidRDefault="006E0488" w:rsidP="006E0488">
            <w:pPr>
              <w:shd w:val="clear" w:color="auto" w:fill="FFFFFF"/>
              <w:spacing w:after="0" w:line="240" w:lineRule="auto"/>
              <w:jc w:val="both"/>
              <w:rPr>
                <w:rFonts w:ascii="Overpass" w:eastAsia="Times New Roman" w:hAnsi="Overpass" w:cs="Calibri"/>
                <w:color w:val="212121"/>
                <w:lang w:eastAsia="it-IT"/>
              </w:rPr>
            </w:pPr>
            <w:r w:rsidRPr="006E0488">
              <w:rPr>
                <w:rFonts w:ascii="Overpass" w:eastAsia="Times New Roman" w:hAnsi="Overpass" w:cs="Calibri"/>
                <w:b/>
                <w:bCs/>
                <w:color w:val="212121"/>
                <w:lang w:eastAsia="it-IT"/>
              </w:rPr>
              <w:t>Mar 31, 2023</w:t>
            </w:r>
          </w:p>
        </w:tc>
      </w:tr>
      <w:tr w:rsidR="006E0488" w:rsidRPr="006E0488" w14:paraId="2481610F" w14:textId="77777777" w:rsidTr="006E0488">
        <w:tc>
          <w:tcPr>
            <w:tcW w:w="4253" w:type="dxa"/>
            <w:vAlign w:val="bottom"/>
            <w:hideMark/>
          </w:tcPr>
          <w:p w14:paraId="5AAF0AA0" w14:textId="77777777" w:rsidR="006E0488" w:rsidRPr="006E0488" w:rsidRDefault="006E0488" w:rsidP="006E0488">
            <w:pPr>
              <w:shd w:val="clear" w:color="auto" w:fill="FFFFFF"/>
              <w:spacing w:after="0" w:line="240" w:lineRule="auto"/>
              <w:jc w:val="both"/>
              <w:rPr>
                <w:rFonts w:ascii="Overpass" w:eastAsia="Times New Roman" w:hAnsi="Overpass" w:cs="Calibri"/>
                <w:color w:val="212121"/>
                <w:lang w:eastAsia="it-IT"/>
              </w:rPr>
            </w:pPr>
            <w:r w:rsidRPr="006E0488">
              <w:rPr>
                <w:rFonts w:ascii="Overpass" w:eastAsia="Times New Roman" w:hAnsi="Overpass" w:cs="Calibri"/>
                <w:color w:val="212121"/>
                <w:lang w:eastAsia="it-IT"/>
              </w:rPr>
              <w:t> </w:t>
            </w:r>
          </w:p>
        </w:tc>
        <w:tc>
          <w:tcPr>
            <w:tcW w:w="1674" w:type="dxa"/>
            <w:gridSpan w:val="2"/>
            <w:vAlign w:val="bottom"/>
            <w:hideMark/>
          </w:tcPr>
          <w:p w14:paraId="083781A8" w14:textId="77777777" w:rsidR="006E0488" w:rsidRPr="006E0488" w:rsidRDefault="006E0488" w:rsidP="006E0488">
            <w:pPr>
              <w:shd w:val="clear" w:color="auto" w:fill="FFFFFF"/>
              <w:spacing w:after="0" w:line="240" w:lineRule="auto"/>
              <w:jc w:val="both"/>
              <w:rPr>
                <w:rFonts w:ascii="Overpass" w:eastAsia="Times New Roman" w:hAnsi="Overpass" w:cs="Calibri"/>
                <w:color w:val="212121"/>
                <w:lang w:eastAsia="it-IT"/>
              </w:rPr>
            </w:pPr>
            <w:r w:rsidRPr="006E0488">
              <w:rPr>
                <w:rFonts w:ascii="Overpass" w:eastAsia="Times New Roman" w:hAnsi="Overpass" w:cs="Calibri"/>
                <w:b/>
                <w:bCs/>
                <w:i/>
                <w:iCs/>
                <w:color w:val="212121"/>
                <w:lang w:eastAsia="it-IT"/>
              </w:rPr>
              <w:t>US$</w:t>
            </w:r>
          </w:p>
        </w:tc>
        <w:tc>
          <w:tcPr>
            <w:tcW w:w="1019" w:type="dxa"/>
            <w:vAlign w:val="bottom"/>
            <w:hideMark/>
          </w:tcPr>
          <w:p w14:paraId="5475C23A" w14:textId="77777777" w:rsidR="006E0488" w:rsidRPr="006E0488" w:rsidRDefault="006E0488" w:rsidP="006E0488">
            <w:pPr>
              <w:shd w:val="clear" w:color="auto" w:fill="FFFFFF"/>
              <w:spacing w:after="0" w:line="240" w:lineRule="auto"/>
              <w:jc w:val="both"/>
              <w:rPr>
                <w:rFonts w:ascii="Overpass" w:eastAsia="Times New Roman" w:hAnsi="Overpass" w:cs="Calibri"/>
                <w:color w:val="212121"/>
                <w:lang w:eastAsia="it-IT"/>
              </w:rPr>
            </w:pPr>
            <w:r w:rsidRPr="006E0488">
              <w:rPr>
                <w:rFonts w:ascii="Overpass" w:eastAsia="Times New Roman" w:hAnsi="Overpass" w:cs="Calibri"/>
                <w:color w:val="212121"/>
                <w:lang w:eastAsia="it-IT"/>
              </w:rPr>
              <w:t> </w:t>
            </w:r>
          </w:p>
        </w:tc>
        <w:tc>
          <w:tcPr>
            <w:tcW w:w="2602" w:type="dxa"/>
            <w:gridSpan w:val="3"/>
            <w:vAlign w:val="bottom"/>
            <w:hideMark/>
          </w:tcPr>
          <w:p w14:paraId="44A90DC0" w14:textId="77777777" w:rsidR="006E0488" w:rsidRPr="006E0488" w:rsidRDefault="006E0488" w:rsidP="006E0488">
            <w:pPr>
              <w:shd w:val="clear" w:color="auto" w:fill="FFFFFF"/>
              <w:spacing w:after="0" w:line="240" w:lineRule="auto"/>
              <w:jc w:val="both"/>
              <w:rPr>
                <w:rFonts w:ascii="Overpass" w:eastAsia="Times New Roman" w:hAnsi="Overpass" w:cs="Calibri"/>
                <w:color w:val="212121"/>
                <w:lang w:eastAsia="it-IT"/>
              </w:rPr>
            </w:pPr>
            <w:r w:rsidRPr="006E0488">
              <w:rPr>
                <w:rFonts w:ascii="Overpass" w:eastAsia="Times New Roman" w:hAnsi="Overpass" w:cs="Calibri"/>
                <w:b/>
                <w:bCs/>
                <w:i/>
                <w:iCs/>
                <w:color w:val="212121"/>
                <w:lang w:eastAsia="it-IT"/>
              </w:rPr>
              <w:t>US$</w:t>
            </w:r>
          </w:p>
        </w:tc>
      </w:tr>
      <w:tr w:rsidR="006E0488" w:rsidRPr="006E0488" w14:paraId="28EF653A" w14:textId="77777777" w:rsidTr="006E0488">
        <w:trPr>
          <w:gridAfter w:val="1"/>
          <w:wAfter w:w="14" w:type="dxa"/>
        </w:trPr>
        <w:tc>
          <w:tcPr>
            <w:tcW w:w="4253" w:type="dxa"/>
            <w:vAlign w:val="bottom"/>
            <w:hideMark/>
          </w:tcPr>
          <w:p w14:paraId="12753BEB" w14:textId="77777777" w:rsidR="006E0488" w:rsidRPr="006E0488" w:rsidRDefault="006E0488" w:rsidP="006E0488">
            <w:pPr>
              <w:shd w:val="clear" w:color="auto" w:fill="FFFFFF"/>
              <w:spacing w:after="0" w:line="240" w:lineRule="auto"/>
              <w:jc w:val="both"/>
              <w:rPr>
                <w:rFonts w:ascii="Overpass" w:eastAsia="Times New Roman" w:hAnsi="Overpass" w:cs="Calibri"/>
                <w:color w:val="212121"/>
                <w:lang w:eastAsia="it-IT"/>
              </w:rPr>
            </w:pPr>
            <w:r w:rsidRPr="006E0488">
              <w:rPr>
                <w:rFonts w:ascii="Overpass" w:eastAsia="Times New Roman" w:hAnsi="Overpass" w:cs="Calibri"/>
                <w:b/>
                <w:bCs/>
                <w:color w:val="212121"/>
                <w:lang w:eastAsia="it-IT"/>
              </w:rPr>
              <w:t>Net loss</w:t>
            </w:r>
          </w:p>
        </w:tc>
        <w:tc>
          <w:tcPr>
            <w:tcW w:w="1661" w:type="dxa"/>
            <w:tcBorders>
              <w:bottom w:val="single" w:sz="8" w:space="0" w:color="000000"/>
            </w:tcBorders>
            <w:tcMar>
              <w:top w:w="15" w:type="dxa"/>
              <w:left w:w="15" w:type="dxa"/>
              <w:bottom w:w="15" w:type="dxa"/>
              <w:right w:w="0" w:type="dxa"/>
            </w:tcMar>
            <w:vAlign w:val="bottom"/>
            <w:hideMark/>
          </w:tcPr>
          <w:p w14:paraId="36885414" w14:textId="77777777" w:rsidR="006E0488" w:rsidRPr="006E0488" w:rsidRDefault="006E0488" w:rsidP="006E0488">
            <w:pPr>
              <w:shd w:val="clear" w:color="auto" w:fill="FFFFFF"/>
              <w:spacing w:after="0" w:line="240" w:lineRule="auto"/>
              <w:jc w:val="both"/>
              <w:rPr>
                <w:rFonts w:ascii="Overpass" w:eastAsia="Times New Roman" w:hAnsi="Overpass" w:cs="Calibri"/>
                <w:color w:val="212121"/>
                <w:lang w:eastAsia="it-IT"/>
              </w:rPr>
            </w:pPr>
            <w:r w:rsidRPr="006E0488">
              <w:rPr>
                <w:rFonts w:ascii="Overpass" w:eastAsia="Times New Roman" w:hAnsi="Overpass" w:cs="Calibri"/>
                <w:b/>
                <w:bCs/>
                <w:color w:val="212121"/>
                <w:lang w:eastAsia="it-IT"/>
              </w:rPr>
              <w:t>(258,225)</w:t>
            </w:r>
          </w:p>
        </w:tc>
        <w:tc>
          <w:tcPr>
            <w:tcW w:w="1032" w:type="dxa"/>
            <w:gridSpan w:val="2"/>
            <w:vAlign w:val="bottom"/>
            <w:hideMark/>
          </w:tcPr>
          <w:p w14:paraId="270E5577" w14:textId="77777777" w:rsidR="006E0488" w:rsidRPr="006E0488" w:rsidRDefault="006E0488" w:rsidP="006E0488">
            <w:pPr>
              <w:shd w:val="clear" w:color="auto" w:fill="FFFFFF"/>
              <w:spacing w:after="0" w:line="240" w:lineRule="auto"/>
              <w:jc w:val="both"/>
              <w:rPr>
                <w:rFonts w:ascii="Overpass" w:eastAsia="Times New Roman" w:hAnsi="Overpass" w:cs="Calibri"/>
                <w:color w:val="212121"/>
                <w:lang w:eastAsia="it-IT"/>
              </w:rPr>
            </w:pPr>
            <w:r w:rsidRPr="006E0488">
              <w:rPr>
                <w:rFonts w:ascii="Overpass" w:eastAsia="Times New Roman" w:hAnsi="Overpass" w:cs="Calibri"/>
                <w:color w:val="212121"/>
                <w:lang w:eastAsia="it-IT"/>
              </w:rPr>
              <w:t> </w:t>
            </w:r>
          </w:p>
        </w:tc>
        <w:tc>
          <w:tcPr>
            <w:tcW w:w="2588" w:type="dxa"/>
            <w:gridSpan w:val="2"/>
            <w:tcBorders>
              <w:bottom w:val="single" w:sz="8" w:space="0" w:color="000000"/>
            </w:tcBorders>
            <w:tcMar>
              <w:top w:w="15" w:type="dxa"/>
              <w:left w:w="15" w:type="dxa"/>
              <w:bottom w:w="15" w:type="dxa"/>
              <w:right w:w="0" w:type="dxa"/>
            </w:tcMar>
            <w:vAlign w:val="bottom"/>
            <w:hideMark/>
          </w:tcPr>
          <w:p w14:paraId="6BF173AB" w14:textId="77777777" w:rsidR="006E0488" w:rsidRPr="006E0488" w:rsidRDefault="006E0488" w:rsidP="006E0488">
            <w:pPr>
              <w:shd w:val="clear" w:color="auto" w:fill="FFFFFF"/>
              <w:spacing w:after="0" w:line="240" w:lineRule="auto"/>
              <w:jc w:val="both"/>
              <w:rPr>
                <w:rFonts w:ascii="Overpass" w:eastAsia="Times New Roman" w:hAnsi="Overpass" w:cs="Calibri"/>
                <w:color w:val="212121"/>
                <w:lang w:eastAsia="it-IT"/>
              </w:rPr>
            </w:pPr>
            <w:r w:rsidRPr="006E0488">
              <w:rPr>
                <w:rFonts w:ascii="Overpass" w:eastAsia="Times New Roman" w:hAnsi="Overpass" w:cs="Calibri"/>
                <w:b/>
                <w:bCs/>
                <w:color w:val="212121"/>
                <w:lang w:eastAsia="it-IT"/>
              </w:rPr>
              <w:t>(159,575)</w:t>
            </w:r>
          </w:p>
        </w:tc>
      </w:tr>
      <w:tr w:rsidR="006E0488" w:rsidRPr="006E0488" w14:paraId="7F2D8F20" w14:textId="77777777" w:rsidTr="006E0488">
        <w:trPr>
          <w:gridAfter w:val="1"/>
          <w:wAfter w:w="14" w:type="dxa"/>
        </w:trPr>
        <w:tc>
          <w:tcPr>
            <w:tcW w:w="4253" w:type="dxa"/>
            <w:vAlign w:val="bottom"/>
            <w:hideMark/>
          </w:tcPr>
          <w:p w14:paraId="030B3086" w14:textId="77777777" w:rsidR="006E0488" w:rsidRPr="006E0488" w:rsidRDefault="006E0488" w:rsidP="006E0488">
            <w:pPr>
              <w:shd w:val="clear" w:color="auto" w:fill="FFFFFF"/>
              <w:spacing w:after="0" w:line="240" w:lineRule="auto"/>
              <w:jc w:val="both"/>
              <w:rPr>
                <w:rFonts w:ascii="Overpass" w:eastAsia="Times New Roman" w:hAnsi="Overpass" w:cs="Calibri"/>
                <w:color w:val="212121"/>
                <w:lang w:eastAsia="it-IT"/>
              </w:rPr>
            </w:pPr>
            <w:r w:rsidRPr="006E0488">
              <w:rPr>
                <w:rFonts w:ascii="Overpass" w:eastAsia="Times New Roman" w:hAnsi="Overpass" w:cs="Calibri"/>
                <w:color w:val="212121"/>
                <w:lang w:eastAsia="it-IT"/>
              </w:rPr>
              <w:t>Share-based compensation expenses</w:t>
            </w:r>
          </w:p>
        </w:tc>
        <w:tc>
          <w:tcPr>
            <w:tcW w:w="1661" w:type="dxa"/>
            <w:tcBorders>
              <w:top w:val="single" w:sz="8" w:space="0" w:color="000000"/>
            </w:tcBorders>
            <w:tcMar>
              <w:top w:w="15" w:type="dxa"/>
              <w:left w:w="15" w:type="dxa"/>
              <w:bottom w:w="15" w:type="dxa"/>
              <w:right w:w="0" w:type="dxa"/>
            </w:tcMar>
            <w:vAlign w:val="bottom"/>
            <w:hideMark/>
          </w:tcPr>
          <w:p w14:paraId="5F513EF9" w14:textId="77777777" w:rsidR="006E0488" w:rsidRPr="006E0488" w:rsidRDefault="006E0488" w:rsidP="006E0488">
            <w:pPr>
              <w:shd w:val="clear" w:color="auto" w:fill="FFFFFF"/>
              <w:spacing w:after="0" w:line="240" w:lineRule="auto"/>
              <w:jc w:val="both"/>
              <w:rPr>
                <w:rFonts w:ascii="Overpass" w:eastAsia="Times New Roman" w:hAnsi="Overpass" w:cs="Calibri"/>
                <w:color w:val="212121"/>
                <w:lang w:eastAsia="it-IT"/>
              </w:rPr>
            </w:pPr>
            <w:r w:rsidRPr="006E0488">
              <w:rPr>
                <w:rFonts w:ascii="Overpass" w:eastAsia="Times New Roman" w:hAnsi="Overpass" w:cs="Calibri"/>
                <w:color w:val="212121"/>
                <w:lang w:eastAsia="it-IT"/>
              </w:rPr>
              <w:t>35,323</w:t>
            </w:r>
          </w:p>
        </w:tc>
        <w:tc>
          <w:tcPr>
            <w:tcW w:w="1032" w:type="dxa"/>
            <w:gridSpan w:val="2"/>
            <w:vAlign w:val="bottom"/>
            <w:hideMark/>
          </w:tcPr>
          <w:p w14:paraId="4AE9BC70" w14:textId="77777777" w:rsidR="006E0488" w:rsidRPr="006E0488" w:rsidRDefault="006E0488" w:rsidP="006E0488">
            <w:pPr>
              <w:shd w:val="clear" w:color="auto" w:fill="FFFFFF"/>
              <w:spacing w:after="0" w:line="240" w:lineRule="auto"/>
              <w:jc w:val="both"/>
              <w:rPr>
                <w:rFonts w:ascii="Overpass" w:eastAsia="Times New Roman" w:hAnsi="Overpass" w:cs="Calibri"/>
                <w:color w:val="212121"/>
                <w:lang w:eastAsia="it-IT"/>
              </w:rPr>
            </w:pPr>
            <w:r w:rsidRPr="006E0488">
              <w:rPr>
                <w:rFonts w:ascii="Overpass" w:eastAsia="Times New Roman" w:hAnsi="Overpass" w:cs="Calibri"/>
                <w:color w:val="212121"/>
                <w:lang w:eastAsia="it-IT"/>
              </w:rPr>
              <w:t> </w:t>
            </w:r>
          </w:p>
        </w:tc>
        <w:tc>
          <w:tcPr>
            <w:tcW w:w="2588" w:type="dxa"/>
            <w:gridSpan w:val="2"/>
            <w:tcBorders>
              <w:top w:val="single" w:sz="8" w:space="0" w:color="000000"/>
            </w:tcBorders>
            <w:tcMar>
              <w:top w:w="15" w:type="dxa"/>
              <w:left w:w="15" w:type="dxa"/>
              <w:bottom w:w="15" w:type="dxa"/>
              <w:right w:w="0" w:type="dxa"/>
            </w:tcMar>
            <w:vAlign w:val="bottom"/>
            <w:hideMark/>
          </w:tcPr>
          <w:p w14:paraId="03EEE756" w14:textId="77777777" w:rsidR="006E0488" w:rsidRPr="006E0488" w:rsidRDefault="006E0488" w:rsidP="006E0488">
            <w:pPr>
              <w:shd w:val="clear" w:color="auto" w:fill="FFFFFF"/>
              <w:spacing w:after="0" w:line="240" w:lineRule="auto"/>
              <w:jc w:val="both"/>
              <w:rPr>
                <w:rFonts w:ascii="Overpass" w:eastAsia="Times New Roman" w:hAnsi="Overpass" w:cs="Calibri"/>
                <w:color w:val="212121"/>
                <w:lang w:eastAsia="it-IT"/>
              </w:rPr>
            </w:pPr>
            <w:r w:rsidRPr="006E0488">
              <w:rPr>
                <w:rFonts w:ascii="Overpass" w:eastAsia="Times New Roman" w:hAnsi="Overpass" w:cs="Calibri"/>
                <w:color w:val="212121"/>
                <w:lang w:eastAsia="it-IT"/>
              </w:rPr>
              <w:t>-</w:t>
            </w:r>
          </w:p>
        </w:tc>
      </w:tr>
      <w:tr w:rsidR="006E0488" w:rsidRPr="006E0488" w14:paraId="0B9D44CF" w14:textId="77777777" w:rsidTr="006E0488">
        <w:trPr>
          <w:gridAfter w:val="1"/>
          <w:wAfter w:w="14" w:type="dxa"/>
        </w:trPr>
        <w:tc>
          <w:tcPr>
            <w:tcW w:w="4253" w:type="dxa"/>
            <w:vAlign w:val="bottom"/>
            <w:hideMark/>
          </w:tcPr>
          <w:p w14:paraId="11D8CA5F" w14:textId="77777777" w:rsidR="006E0488" w:rsidRPr="006E0488" w:rsidRDefault="006E0488" w:rsidP="006E0488">
            <w:pPr>
              <w:shd w:val="clear" w:color="auto" w:fill="FFFFFF"/>
              <w:spacing w:after="0" w:line="240" w:lineRule="auto"/>
              <w:jc w:val="both"/>
              <w:rPr>
                <w:rFonts w:ascii="Overpass" w:eastAsia="Times New Roman" w:hAnsi="Overpass" w:cs="Calibri"/>
                <w:color w:val="212121"/>
                <w:lang w:eastAsia="it-IT"/>
              </w:rPr>
            </w:pPr>
            <w:r w:rsidRPr="006E0488">
              <w:rPr>
                <w:rFonts w:ascii="Overpass" w:eastAsia="Times New Roman" w:hAnsi="Overpass" w:cs="Calibri"/>
                <w:b/>
                <w:bCs/>
                <w:color w:val="212121"/>
                <w:lang w:eastAsia="it-IT"/>
              </w:rPr>
              <w:t>Adjusted net loss</w:t>
            </w:r>
          </w:p>
        </w:tc>
        <w:tc>
          <w:tcPr>
            <w:tcW w:w="1661" w:type="dxa"/>
            <w:tcBorders>
              <w:bottom w:val="single" w:sz="8" w:space="0" w:color="000000"/>
            </w:tcBorders>
            <w:tcMar>
              <w:top w:w="15" w:type="dxa"/>
              <w:left w:w="15" w:type="dxa"/>
              <w:bottom w:w="15" w:type="dxa"/>
              <w:right w:w="0" w:type="dxa"/>
            </w:tcMar>
            <w:vAlign w:val="bottom"/>
            <w:hideMark/>
          </w:tcPr>
          <w:p w14:paraId="44D848D9" w14:textId="77777777" w:rsidR="006E0488" w:rsidRPr="006E0488" w:rsidRDefault="006E0488" w:rsidP="006E0488">
            <w:pPr>
              <w:shd w:val="clear" w:color="auto" w:fill="FFFFFF"/>
              <w:spacing w:after="0" w:line="240" w:lineRule="auto"/>
              <w:jc w:val="both"/>
              <w:rPr>
                <w:rFonts w:ascii="Overpass" w:eastAsia="Times New Roman" w:hAnsi="Overpass" w:cs="Calibri"/>
                <w:color w:val="212121"/>
                <w:lang w:eastAsia="it-IT"/>
              </w:rPr>
            </w:pPr>
            <w:r w:rsidRPr="006E0488">
              <w:rPr>
                <w:rFonts w:ascii="Overpass" w:eastAsia="Times New Roman" w:hAnsi="Overpass" w:cs="Calibri"/>
                <w:b/>
                <w:bCs/>
                <w:color w:val="212121"/>
                <w:lang w:eastAsia="it-IT"/>
              </w:rPr>
              <w:t>(222,902)</w:t>
            </w:r>
          </w:p>
        </w:tc>
        <w:tc>
          <w:tcPr>
            <w:tcW w:w="1032" w:type="dxa"/>
            <w:gridSpan w:val="2"/>
            <w:vAlign w:val="bottom"/>
            <w:hideMark/>
          </w:tcPr>
          <w:p w14:paraId="386F785C" w14:textId="77777777" w:rsidR="006E0488" w:rsidRPr="006E0488" w:rsidRDefault="006E0488" w:rsidP="006E0488">
            <w:pPr>
              <w:shd w:val="clear" w:color="auto" w:fill="FFFFFF"/>
              <w:spacing w:after="0" w:line="240" w:lineRule="auto"/>
              <w:jc w:val="both"/>
              <w:rPr>
                <w:rFonts w:ascii="Overpass" w:eastAsia="Times New Roman" w:hAnsi="Overpass" w:cs="Calibri"/>
                <w:color w:val="212121"/>
                <w:lang w:eastAsia="it-IT"/>
              </w:rPr>
            </w:pPr>
            <w:r w:rsidRPr="006E0488">
              <w:rPr>
                <w:rFonts w:ascii="Overpass" w:eastAsia="Times New Roman" w:hAnsi="Overpass" w:cs="Calibri"/>
                <w:color w:val="212121"/>
                <w:lang w:eastAsia="it-IT"/>
              </w:rPr>
              <w:t> </w:t>
            </w:r>
          </w:p>
        </w:tc>
        <w:tc>
          <w:tcPr>
            <w:tcW w:w="2588" w:type="dxa"/>
            <w:gridSpan w:val="2"/>
            <w:tcBorders>
              <w:bottom w:val="single" w:sz="8" w:space="0" w:color="000000"/>
            </w:tcBorders>
            <w:tcMar>
              <w:top w:w="15" w:type="dxa"/>
              <w:left w:w="15" w:type="dxa"/>
              <w:bottom w:w="15" w:type="dxa"/>
              <w:right w:w="0" w:type="dxa"/>
            </w:tcMar>
            <w:vAlign w:val="bottom"/>
            <w:hideMark/>
          </w:tcPr>
          <w:p w14:paraId="27693EDC" w14:textId="77777777" w:rsidR="006E0488" w:rsidRPr="006E0488" w:rsidRDefault="006E0488" w:rsidP="006E0488">
            <w:pPr>
              <w:shd w:val="clear" w:color="auto" w:fill="FFFFFF"/>
              <w:spacing w:after="0" w:line="240" w:lineRule="auto"/>
              <w:jc w:val="both"/>
              <w:rPr>
                <w:rFonts w:ascii="Overpass" w:eastAsia="Times New Roman" w:hAnsi="Overpass" w:cs="Calibri"/>
                <w:color w:val="212121"/>
                <w:lang w:eastAsia="it-IT"/>
              </w:rPr>
            </w:pPr>
            <w:r w:rsidRPr="006E0488">
              <w:rPr>
                <w:rFonts w:ascii="Overpass" w:eastAsia="Times New Roman" w:hAnsi="Overpass" w:cs="Calibri"/>
                <w:b/>
                <w:bCs/>
                <w:color w:val="212121"/>
                <w:lang w:eastAsia="it-IT"/>
              </w:rPr>
              <w:t>(159,575)</w:t>
            </w:r>
          </w:p>
        </w:tc>
      </w:tr>
      <w:tr w:rsidR="006E0488" w:rsidRPr="006E0488" w14:paraId="46F62913" w14:textId="77777777" w:rsidTr="006E0488">
        <w:tc>
          <w:tcPr>
            <w:tcW w:w="4253" w:type="dxa"/>
            <w:vAlign w:val="bottom"/>
            <w:hideMark/>
          </w:tcPr>
          <w:p w14:paraId="2B65663C" w14:textId="77777777" w:rsidR="006E0488" w:rsidRPr="006E0488" w:rsidRDefault="006E0488" w:rsidP="006E0488">
            <w:pPr>
              <w:shd w:val="clear" w:color="auto" w:fill="FFFFFF"/>
              <w:spacing w:after="0" w:line="240" w:lineRule="auto"/>
              <w:jc w:val="both"/>
              <w:rPr>
                <w:rFonts w:ascii="Overpass" w:eastAsia="Times New Roman" w:hAnsi="Overpass" w:cs="Calibri"/>
                <w:color w:val="212121"/>
                <w:lang w:eastAsia="it-IT"/>
              </w:rPr>
            </w:pPr>
            <w:r w:rsidRPr="006E0488">
              <w:rPr>
                <w:rFonts w:ascii="Overpass" w:eastAsia="Times New Roman" w:hAnsi="Overpass" w:cs="Calibri"/>
                <w:color w:val="212121"/>
                <w:lang w:eastAsia="it-IT"/>
              </w:rPr>
              <w:t> </w:t>
            </w:r>
          </w:p>
        </w:tc>
        <w:tc>
          <w:tcPr>
            <w:tcW w:w="1674" w:type="dxa"/>
            <w:gridSpan w:val="2"/>
            <w:vAlign w:val="bottom"/>
            <w:hideMark/>
          </w:tcPr>
          <w:p w14:paraId="6C0FC5A4" w14:textId="77777777" w:rsidR="006E0488" w:rsidRPr="006E0488" w:rsidRDefault="006E0488" w:rsidP="006E0488">
            <w:pPr>
              <w:shd w:val="clear" w:color="auto" w:fill="FFFFFF"/>
              <w:spacing w:after="0" w:line="240" w:lineRule="auto"/>
              <w:jc w:val="both"/>
              <w:rPr>
                <w:rFonts w:ascii="Overpass" w:eastAsia="Times New Roman" w:hAnsi="Overpass" w:cs="Calibri"/>
                <w:color w:val="212121"/>
                <w:lang w:eastAsia="it-IT"/>
              </w:rPr>
            </w:pPr>
            <w:r w:rsidRPr="006E0488">
              <w:rPr>
                <w:rFonts w:ascii="Overpass" w:eastAsia="Times New Roman" w:hAnsi="Overpass" w:cs="Calibri"/>
                <w:color w:val="212121"/>
                <w:lang w:eastAsia="it-IT"/>
              </w:rPr>
              <w:t> </w:t>
            </w:r>
          </w:p>
        </w:tc>
        <w:tc>
          <w:tcPr>
            <w:tcW w:w="1019" w:type="dxa"/>
            <w:vAlign w:val="bottom"/>
            <w:hideMark/>
          </w:tcPr>
          <w:p w14:paraId="341E071C" w14:textId="77777777" w:rsidR="006E0488" w:rsidRPr="006E0488" w:rsidRDefault="006E0488" w:rsidP="006E0488">
            <w:pPr>
              <w:shd w:val="clear" w:color="auto" w:fill="FFFFFF"/>
              <w:spacing w:after="0" w:line="240" w:lineRule="auto"/>
              <w:jc w:val="both"/>
              <w:rPr>
                <w:rFonts w:ascii="Overpass" w:eastAsia="Times New Roman" w:hAnsi="Overpass" w:cs="Calibri"/>
                <w:color w:val="212121"/>
                <w:lang w:eastAsia="it-IT"/>
              </w:rPr>
            </w:pPr>
            <w:r w:rsidRPr="006E0488">
              <w:rPr>
                <w:rFonts w:ascii="Overpass" w:eastAsia="Times New Roman" w:hAnsi="Overpass" w:cs="Calibri"/>
                <w:color w:val="212121"/>
                <w:lang w:eastAsia="it-IT"/>
              </w:rPr>
              <w:t> </w:t>
            </w:r>
          </w:p>
        </w:tc>
        <w:tc>
          <w:tcPr>
            <w:tcW w:w="2602" w:type="dxa"/>
            <w:gridSpan w:val="3"/>
            <w:vAlign w:val="bottom"/>
            <w:hideMark/>
          </w:tcPr>
          <w:p w14:paraId="7F03919D" w14:textId="77777777" w:rsidR="006E0488" w:rsidRPr="006E0488" w:rsidRDefault="006E0488" w:rsidP="006E0488">
            <w:pPr>
              <w:shd w:val="clear" w:color="auto" w:fill="FFFFFF"/>
              <w:spacing w:after="0" w:line="240" w:lineRule="auto"/>
              <w:jc w:val="both"/>
              <w:rPr>
                <w:rFonts w:ascii="Overpass" w:eastAsia="Times New Roman" w:hAnsi="Overpass" w:cs="Calibri"/>
                <w:color w:val="212121"/>
                <w:lang w:eastAsia="it-IT"/>
              </w:rPr>
            </w:pPr>
            <w:r w:rsidRPr="006E0488">
              <w:rPr>
                <w:rFonts w:ascii="Overpass" w:eastAsia="Times New Roman" w:hAnsi="Overpass" w:cs="Calibri"/>
                <w:color w:val="212121"/>
                <w:lang w:eastAsia="it-IT"/>
              </w:rPr>
              <w:t> </w:t>
            </w:r>
          </w:p>
        </w:tc>
      </w:tr>
      <w:tr w:rsidR="006E0488" w:rsidRPr="006E0488" w14:paraId="38982C6B" w14:textId="77777777" w:rsidTr="006E0488">
        <w:trPr>
          <w:gridAfter w:val="1"/>
          <w:wAfter w:w="14" w:type="dxa"/>
        </w:trPr>
        <w:tc>
          <w:tcPr>
            <w:tcW w:w="4253" w:type="dxa"/>
            <w:vAlign w:val="bottom"/>
            <w:hideMark/>
          </w:tcPr>
          <w:p w14:paraId="6C928D19" w14:textId="77777777" w:rsidR="006E0488" w:rsidRPr="006E0488" w:rsidRDefault="006E0488" w:rsidP="006E0488">
            <w:pPr>
              <w:shd w:val="clear" w:color="auto" w:fill="FFFFFF"/>
              <w:spacing w:after="0" w:line="240" w:lineRule="auto"/>
              <w:jc w:val="both"/>
              <w:rPr>
                <w:rFonts w:ascii="Overpass" w:eastAsia="Times New Roman" w:hAnsi="Overpass" w:cs="Calibri"/>
                <w:color w:val="212121"/>
                <w:lang w:eastAsia="it-IT"/>
              </w:rPr>
            </w:pPr>
            <w:r w:rsidRPr="006E0488">
              <w:rPr>
                <w:rFonts w:ascii="Overpass" w:eastAsia="Times New Roman" w:hAnsi="Overpass" w:cs="Calibri"/>
                <w:b/>
                <w:bCs/>
                <w:color w:val="212121"/>
                <w:lang w:eastAsia="it-IT"/>
              </w:rPr>
              <w:t>Net loss</w:t>
            </w:r>
          </w:p>
        </w:tc>
        <w:tc>
          <w:tcPr>
            <w:tcW w:w="1661" w:type="dxa"/>
            <w:tcMar>
              <w:top w:w="15" w:type="dxa"/>
              <w:left w:w="15" w:type="dxa"/>
              <w:bottom w:w="15" w:type="dxa"/>
              <w:right w:w="0" w:type="dxa"/>
            </w:tcMar>
            <w:vAlign w:val="bottom"/>
            <w:hideMark/>
          </w:tcPr>
          <w:p w14:paraId="4D3BF80F" w14:textId="77777777" w:rsidR="006E0488" w:rsidRPr="006E0488" w:rsidRDefault="006E0488" w:rsidP="006E0488">
            <w:pPr>
              <w:shd w:val="clear" w:color="auto" w:fill="FFFFFF"/>
              <w:spacing w:after="0" w:line="240" w:lineRule="auto"/>
              <w:jc w:val="both"/>
              <w:rPr>
                <w:rFonts w:ascii="Overpass" w:eastAsia="Times New Roman" w:hAnsi="Overpass" w:cs="Calibri"/>
                <w:color w:val="212121"/>
                <w:lang w:eastAsia="it-IT"/>
              </w:rPr>
            </w:pPr>
            <w:r w:rsidRPr="006E0488">
              <w:rPr>
                <w:rFonts w:ascii="Overpass" w:eastAsia="Times New Roman" w:hAnsi="Overpass" w:cs="Calibri"/>
                <w:b/>
                <w:bCs/>
                <w:color w:val="212121"/>
                <w:lang w:eastAsia="it-IT"/>
              </w:rPr>
              <w:t>(258,225)</w:t>
            </w:r>
          </w:p>
        </w:tc>
        <w:tc>
          <w:tcPr>
            <w:tcW w:w="1032" w:type="dxa"/>
            <w:gridSpan w:val="2"/>
            <w:vAlign w:val="bottom"/>
            <w:hideMark/>
          </w:tcPr>
          <w:p w14:paraId="10A83A95" w14:textId="77777777" w:rsidR="006E0488" w:rsidRPr="006E0488" w:rsidRDefault="006E0488" w:rsidP="006E0488">
            <w:pPr>
              <w:shd w:val="clear" w:color="auto" w:fill="FFFFFF"/>
              <w:spacing w:after="0" w:line="240" w:lineRule="auto"/>
              <w:jc w:val="both"/>
              <w:rPr>
                <w:rFonts w:ascii="Overpass" w:eastAsia="Times New Roman" w:hAnsi="Overpass" w:cs="Calibri"/>
                <w:color w:val="212121"/>
                <w:lang w:eastAsia="it-IT"/>
              </w:rPr>
            </w:pPr>
            <w:r w:rsidRPr="006E0488">
              <w:rPr>
                <w:rFonts w:ascii="Overpass" w:eastAsia="Times New Roman" w:hAnsi="Overpass" w:cs="Calibri"/>
                <w:color w:val="212121"/>
                <w:lang w:eastAsia="it-IT"/>
              </w:rPr>
              <w:t> </w:t>
            </w:r>
          </w:p>
        </w:tc>
        <w:tc>
          <w:tcPr>
            <w:tcW w:w="2588" w:type="dxa"/>
            <w:gridSpan w:val="2"/>
            <w:tcMar>
              <w:top w:w="15" w:type="dxa"/>
              <w:left w:w="15" w:type="dxa"/>
              <w:bottom w:w="15" w:type="dxa"/>
              <w:right w:w="0" w:type="dxa"/>
            </w:tcMar>
            <w:vAlign w:val="bottom"/>
            <w:hideMark/>
          </w:tcPr>
          <w:p w14:paraId="20DC2585" w14:textId="77777777" w:rsidR="006E0488" w:rsidRPr="006E0488" w:rsidRDefault="006E0488" w:rsidP="006E0488">
            <w:pPr>
              <w:shd w:val="clear" w:color="auto" w:fill="FFFFFF"/>
              <w:spacing w:after="0" w:line="240" w:lineRule="auto"/>
              <w:jc w:val="both"/>
              <w:rPr>
                <w:rFonts w:ascii="Overpass" w:eastAsia="Times New Roman" w:hAnsi="Overpass" w:cs="Calibri"/>
                <w:color w:val="212121"/>
                <w:lang w:eastAsia="it-IT"/>
              </w:rPr>
            </w:pPr>
            <w:r w:rsidRPr="006E0488">
              <w:rPr>
                <w:rFonts w:ascii="Overpass" w:eastAsia="Times New Roman" w:hAnsi="Overpass" w:cs="Calibri"/>
                <w:b/>
                <w:bCs/>
                <w:color w:val="212121"/>
                <w:lang w:eastAsia="it-IT"/>
              </w:rPr>
              <w:t>(159,575)</w:t>
            </w:r>
          </w:p>
        </w:tc>
      </w:tr>
      <w:tr w:rsidR="006E0488" w:rsidRPr="006E0488" w14:paraId="7989D0F0" w14:textId="77777777" w:rsidTr="006E0488">
        <w:trPr>
          <w:gridAfter w:val="1"/>
          <w:wAfter w:w="14" w:type="dxa"/>
        </w:trPr>
        <w:tc>
          <w:tcPr>
            <w:tcW w:w="4253" w:type="dxa"/>
            <w:vAlign w:val="bottom"/>
            <w:hideMark/>
          </w:tcPr>
          <w:p w14:paraId="40ECDB30" w14:textId="77777777" w:rsidR="006E0488" w:rsidRPr="006E0488" w:rsidRDefault="006E0488" w:rsidP="006E0488">
            <w:pPr>
              <w:shd w:val="clear" w:color="auto" w:fill="FFFFFF"/>
              <w:spacing w:after="0" w:line="240" w:lineRule="auto"/>
              <w:jc w:val="both"/>
              <w:rPr>
                <w:rFonts w:ascii="Overpass" w:eastAsia="Times New Roman" w:hAnsi="Overpass" w:cs="Calibri"/>
                <w:color w:val="212121"/>
                <w:lang w:eastAsia="it-IT"/>
              </w:rPr>
            </w:pPr>
            <w:r w:rsidRPr="006E0488">
              <w:rPr>
                <w:rFonts w:ascii="Overpass" w:eastAsia="Times New Roman" w:hAnsi="Overpass" w:cs="Calibri"/>
                <w:color w:val="212121"/>
                <w:lang w:eastAsia="it-IT"/>
              </w:rPr>
              <w:t>Interest expenses</w:t>
            </w:r>
          </w:p>
        </w:tc>
        <w:tc>
          <w:tcPr>
            <w:tcW w:w="1661" w:type="dxa"/>
            <w:tcMar>
              <w:top w:w="15" w:type="dxa"/>
              <w:left w:w="15" w:type="dxa"/>
              <w:bottom w:w="15" w:type="dxa"/>
              <w:right w:w="0" w:type="dxa"/>
            </w:tcMar>
            <w:vAlign w:val="bottom"/>
            <w:hideMark/>
          </w:tcPr>
          <w:p w14:paraId="59A1A3DE" w14:textId="77777777" w:rsidR="006E0488" w:rsidRPr="006E0488" w:rsidRDefault="006E0488" w:rsidP="006E0488">
            <w:pPr>
              <w:shd w:val="clear" w:color="auto" w:fill="FFFFFF"/>
              <w:spacing w:after="0" w:line="240" w:lineRule="auto"/>
              <w:jc w:val="both"/>
              <w:rPr>
                <w:rFonts w:ascii="Overpass" w:eastAsia="Times New Roman" w:hAnsi="Overpass" w:cs="Calibri"/>
                <w:color w:val="212121"/>
                <w:lang w:eastAsia="it-IT"/>
              </w:rPr>
            </w:pPr>
            <w:r w:rsidRPr="006E0488">
              <w:rPr>
                <w:rFonts w:ascii="Overpass" w:eastAsia="Times New Roman" w:hAnsi="Overpass" w:cs="Calibri"/>
                <w:color w:val="212121"/>
                <w:lang w:eastAsia="it-IT"/>
              </w:rPr>
              <w:t>3,947</w:t>
            </w:r>
          </w:p>
        </w:tc>
        <w:tc>
          <w:tcPr>
            <w:tcW w:w="1032" w:type="dxa"/>
            <w:gridSpan w:val="2"/>
            <w:vAlign w:val="bottom"/>
            <w:hideMark/>
          </w:tcPr>
          <w:p w14:paraId="291856EA" w14:textId="77777777" w:rsidR="006E0488" w:rsidRPr="006E0488" w:rsidRDefault="006E0488" w:rsidP="006E0488">
            <w:pPr>
              <w:shd w:val="clear" w:color="auto" w:fill="FFFFFF"/>
              <w:spacing w:after="0" w:line="240" w:lineRule="auto"/>
              <w:jc w:val="both"/>
              <w:rPr>
                <w:rFonts w:ascii="Overpass" w:eastAsia="Times New Roman" w:hAnsi="Overpass" w:cs="Calibri"/>
                <w:color w:val="212121"/>
                <w:lang w:eastAsia="it-IT"/>
              </w:rPr>
            </w:pPr>
            <w:r w:rsidRPr="006E0488">
              <w:rPr>
                <w:rFonts w:ascii="Overpass" w:eastAsia="Times New Roman" w:hAnsi="Overpass" w:cs="Calibri"/>
                <w:color w:val="212121"/>
                <w:lang w:eastAsia="it-IT"/>
              </w:rPr>
              <w:t> </w:t>
            </w:r>
          </w:p>
        </w:tc>
        <w:tc>
          <w:tcPr>
            <w:tcW w:w="2588" w:type="dxa"/>
            <w:gridSpan w:val="2"/>
            <w:tcMar>
              <w:top w:w="15" w:type="dxa"/>
              <w:left w:w="15" w:type="dxa"/>
              <w:bottom w:w="15" w:type="dxa"/>
              <w:right w:w="0" w:type="dxa"/>
            </w:tcMar>
            <w:vAlign w:val="bottom"/>
            <w:hideMark/>
          </w:tcPr>
          <w:p w14:paraId="25CB0BA0" w14:textId="77777777" w:rsidR="006E0488" w:rsidRPr="006E0488" w:rsidRDefault="006E0488" w:rsidP="006E0488">
            <w:pPr>
              <w:shd w:val="clear" w:color="auto" w:fill="FFFFFF"/>
              <w:spacing w:after="0" w:line="240" w:lineRule="auto"/>
              <w:jc w:val="both"/>
              <w:rPr>
                <w:rFonts w:ascii="Overpass" w:eastAsia="Times New Roman" w:hAnsi="Overpass" w:cs="Calibri"/>
                <w:color w:val="212121"/>
                <w:lang w:eastAsia="it-IT"/>
              </w:rPr>
            </w:pPr>
            <w:r w:rsidRPr="006E0488">
              <w:rPr>
                <w:rFonts w:ascii="Overpass" w:eastAsia="Times New Roman" w:hAnsi="Overpass" w:cs="Calibri"/>
                <w:color w:val="212121"/>
                <w:lang w:eastAsia="it-IT"/>
              </w:rPr>
              <w:t>434</w:t>
            </w:r>
          </w:p>
        </w:tc>
      </w:tr>
      <w:tr w:rsidR="006E0488" w:rsidRPr="006E0488" w14:paraId="1446E97B" w14:textId="77777777" w:rsidTr="006E0488">
        <w:trPr>
          <w:gridAfter w:val="1"/>
          <w:wAfter w:w="14" w:type="dxa"/>
        </w:trPr>
        <w:tc>
          <w:tcPr>
            <w:tcW w:w="4253" w:type="dxa"/>
            <w:vAlign w:val="bottom"/>
            <w:hideMark/>
          </w:tcPr>
          <w:p w14:paraId="372182E5" w14:textId="77777777" w:rsidR="006E0488" w:rsidRPr="006E0488" w:rsidRDefault="006E0488" w:rsidP="006E0488">
            <w:pPr>
              <w:shd w:val="clear" w:color="auto" w:fill="FFFFFF"/>
              <w:spacing w:after="0" w:line="240" w:lineRule="auto"/>
              <w:jc w:val="both"/>
              <w:rPr>
                <w:rFonts w:ascii="Overpass" w:eastAsia="Times New Roman" w:hAnsi="Overpass" w:cs="Calibri"/>
                <w:color w:val="212121"/>
                <w:lang w:eastAsia="it-IT"/>
              </w:rPr>
            </w:pPr>
            <w:r w:rsidRPr="006E0488">
              <w:rPr>
                <w:rFonts w:ascii="Overpass" w:eastAsia="Times New Roman" w:hAnsi="Overpass" w:cs="Calibri"/>
                <w:color w:val="212121"/>
                <w:lang w:eastAsia="it-IT"/>
              </w:rPr>
              <w:t>Interest income</w:t>
            </w:r>
          </w:p>
        </w:tc>
        <w:tc>
          <w:tcPr>
            <w:tcW w:w="1661" w:type="dxa"/>
            <w:tcMar>
              <w:top w:w="15" w:type="dxa"/>
              <w:left w:w="15" w:type="dxa"/>
              <w:bottom w:w="15" w:type="dxa"/>
              <w:right w:w="0" w:type="dxa"/>
            </w:tcMar>
            <w:vAlign w:val="bottom"/>
            <w:hideMark/>
          </w:tcPr>
          <w:p w14:paraId="1BA760D6" w14:textId="77777777" w:rsidR="006E0488" w:rsidRPr="006E0488" w:rsidRDefault="006E0488" w:rsidP="006E0488">
            <w:pPr>
              <w:shd w:val="clear" w:color="auto" w:fill="FFFFFF"/>
              <w:spacing w:after="0" w:line="240" w:lineRule="auto"/>
              <w:jc w:val="both"/>
              <w:rPr>
                <w:rFonts w:ascii="Overpass" w:eastAsia="Times New Roman" w:hAnsi="Overpass" w:cs="Calibri"/>
                <w:color w:val="212121"/>
                <w:lang w:eastAsia="it-IT"/>
              </w:rPr>
            </w:pPr>
            <w:r w:rsidRPr="006E0488">
              <w:rPr>
                <w:rFonts w:ascii="Overpass" w:eastAsia="Times New Roman" w:hAnsi="Overpass" w:cs="Calibri"/>
                <w:color w:val="212121"/>
                <w:lang w:eastAsia="it-IT"/>
              </w:rPr>
              <w:t>(1,665)</w:t>
            </w:r>
          </w:p>
        </w:tc>
        <w:tc>
          <w:tcPr>
            <w:tcW w:w="1032" w:type="dxa"/>
            <w:gridSpan w:val="2"/>
            <w:vAlign w:val="bottom"/>
            <w:hideMark/>
          </w:tcPr>
          <w:p w14:paraId="7F3ABCD1" w14:textId="77777777" w:rsidR="006E0488" w:rsidRPr="006E0488" w:rsidRDefault="006E0488" w:rsidP="006E0488">
            <w:pPr>
              <w:shd w:val="clear" w:color="auto" w:fill="FFFFFF"/>
              <w:spacing w:after="0" w:line="240" w:lineRule="auto"/>
              <w:jc w:val="both"/>
              <w:rPr>
                <w:rFonts w:ascii="Overpass" w:eastAsia="Times New Roman" w:hAnsi="Overpass" w:cs="Calibri"/>
                <w:color w:val="212121"/>
                <w:lang w:eastAsia="it-IT"/>
              </w:rPr>
            </w:pPr>
            <w:r w:rsidRPr="006E0488">
              <w:rPr>
                <w:rFonts w:ascii="Overpass" w:eastAsia="Times New Roman" w:hAnsi="Overpass" w:cs="Calibri"/>
                <w:color w:val="212121"/>
                <w:lang w:eastAsia="it-IT"/>
              </w:rPr>
              <w:t> </w:t>
            </w:r>
          </w:p>
        </w:tc>
        <w:tc>
          <w:tcPr>
            <w:tcW w:w="2588" w:type="dxa"/>
            <w:gridSpan w:val="2"/>
            <w:tcMar>
              <w:top w:w="15" w:type="dxa"/>
              <w:left w:w="15" w:type="dxa"/>
              <w:bottom w:w="15" w:type="dxa"/>
              <w:right w:w="0" w:type="dxa"/>
            </w:tcMar>
            <w:vAlign w:val="bottom"/>
            <w:hideMark/>
          </w:tcPr>
          <w:p w14:paraId="0B6A9E48" w14:textId="77777777" w:rsidR="006E0488" w:rsidRPr="006E0488" w:rsidRDefault="006E0488" w:rsidP="006E0488">
            <w:pPr>
              <w:shd w:val="clear" w:color="auto" w:fill="FFFFFF"/>
              <w:spacing w:after="0" w:line="240" w:lineRule="auto"/>
              <w:jc w:val="both"/>
              <w:rPr>
                <w:rFonts w:ascii="Overpass" w:eastAsia="Times New Roman" w:hAnsi="Overpass" w:cs="Calibri"/>
                <w:color w:val="212121"/>
                <w:lang w:eastAsia="it-IT"/>
              </w:rPr>
            </w:pPr>
            <w:r w:rsidRPr="006E0488">
              <w:rPr>
                <w:rFonts w:ascii="Overpass" w:eastAsia="Times New Roman" w:hAnsi="Overpass" w:cs="Calibri"/>
                <w:color w:val="212121"/>
                <w:lang w:eastAsia="it-IT"/>
              </w:rPr>
              <w:t>(2,769)</w:t>
            </w:r>
          </w:p>
        </w:tc>
      </w:tr>
      <w:tr w:rsidR="006E0488" w:rsidRPr="006E0488" w14:paraId="09B27694" w14:textId="77777777" w:rsidTr="006E0488">
        <w:trPr>
          <w:gridAfter w:val="1"/>
          <w:wAfter w:w="14" w:type="dxa"/>
        </w:trPr>
        <w:tc>
          <w:tcPr>
            <w:tcW w:w="4253" w:type="dxa"/>
            <w:vAlign w:val="bottom"/>
            <w:hideMark/>
          </w:tcPr>
          <w:p w14:paraId="7F77C56F" w14:textId="77777777" w:rsidR="006E0488" w:rsidRPr="006E0488" w:rsidRDefault="006E0488" w:rsidP="006E0488">
            <w:pPr>
              <w:shd w:val="clear" w:color="auto" w:fill="FFFFFF"/>
              <w:spacing w:after="0" w:line="240" w:lineRule="auto"/>
              <w:jc w:val="both"/>
              <w:rPr>
                <w:rFonts w:ascii="Overpass" w:eastAsia="Times New Roman" w:hAnsi="Overpass" w:cs="Calibri"/>
                <w:color w:val="212121"/>
                <w:lang w:eastAsia="it-IT"/>
              </w:rPr>
            </w:pPr>
            <w:r w:rsidRPr="006E0488">
              <w:rPr>
                <w:rFonts w:ascii="Overpass" w:eastAsia="Times New Roman" w:hAnsi="Overpass" w:cs="Calibri"/>
                <w:color w:val="212121"/>
                <w:lang w:eastAsia="it-IT"/>
              </w:rPr>
              <w:t>Income tax expense(benefit)</w:t>
            </w:r>
          </w:p>
        </w:tc>
        <w:tc>
          <w:tcPr>
            <w:tcW w:w="1661" w:type="dxa"/>
            <w:tcMar>
              <w:top w:w="15" w:type="dxa"/>
              <w:left w:w="15" w:type="dxa"/>
              <w:bottom w:w="15" w:type="dxa"/>
              <w:right w:w="0" w:type="dxa"/>
            </w:tcMar>
            <w:vAlign w:val="bottom"/>
            <w:hideMark/>
          </w:tcPr>
          <w:p w14:paraId="30DE248B" w14:textId="77777777" w:rsidR="006E0488" w:rsidRPr="006E0488" w:rsidRDefault="006E0488" w:rsidP="006E0488">
            <w:pPr>
              <w:shd w:val="clear" w:color="auto" w:fill="FFFFFF"/>
              <w:spacing w:after="0" w:line="240" w:lineRule="auto"/>
              <w:jc w:val="both"/>
              <w:rPr>
                <w:rFonts w:ascii="Overpass" w:eastAsia="Times New Roman" w:hAnsi="Overpass" w:cs="Calibri"/>
                <w:color w:val="212121"/>
                <w:lang w:eastAsia="it-IT"/>
              </w:rPr>
            </w:pPr>
            <w:r w:rsidRPr="006E0488">
              <w:rPr>
                <w:rFonts w:ascii="Overpass" w:eastAsia="Times New Roman" w:hAnsi="Overpass" w:cs="Calibri"/>
                <w:color w:val="212121"/>
                <w:lang w:eastAsia="it-IT"/>
              </w:rPr>
              <w:t>142</w:t>
            </w:r>
          </w:p>
        </w:tc>
        <w:tc>
          <w:tcPr>
            <w:tcW w:w="1032" w:type="dxa"/>
            <w:gridSpan w:val="2"/>
            <w:vAlign w:val="bottom"/>
            <w:hideMark/>
          </w:tcPr>
          <w:p w14:paraId="552CADA7" w14:textId="77777777" w:rsidR="006E0488" w:rsidRPr="006E0488" w:rsidRDefault="006E0488" w:rsidP="006E0488">
            <w:pPr>
              <w:shd w:val="clear" w:color="auto" w:fill="FFFFFF"/>
              <w:spacing w:after="0" w:line="240" w:lineRule="auto"/>
              <w:jc w:val="both"/>
              <w:rPr>
                <w:rFonts w:ascii="Overpass" w:eastAsia="Times New Roman" w:hAnsi="Overpass" w:cs="Calibri"/>
                <w:color w:val="212121"/>
                <w:lang w:eastAsia="it-IT"/>
              </w:rPr>
            </w:pPr>
            <w:r w:rsidRPr="006E0488">
              <w:rPr>
                <w:rFonts w:ascii="Overpass" w:eastAsia="Times New Roman" w:hAnsi="Overpass" w:cs="Calibri"/>
                <w:color w:val="212121"/>
                <w:lang w:eastAsia="it-IT"/>
              </w:rPr>
              <w:t> </w:t>
            </w:r>
          </w:p>
        </w:tc>
        <w:tc>
          <w:tcPr>
            <w:tcW w:w="2588" w:type="dxa"/>
            <w:gridSpan w:val="2"/>
            <w:tcMar>
              <w:top w:w="15" w:type="dxa"/>
              <w:left w:w="15" w:type="dxa"/>
              <w:bottom w:w="15" w:type="dxa"/>
              <w:right w:w="0" w:type="dxa"/>
            </w:tcMar>
            <w:vAlign w:val="bottom"/>
            <w:hideMark/>
          </w:tcPr>
          <w:p w14:paraId="2E0ED29C" w14:textId="77777777" w:rsidR="006E0488" w:rsidRPr="006E0488" w:rsidRDefault="006E0488" w:rsidP="006E0488">
            <w:pPr>
              <w:shd w:val="clear" w:color="auto" w:fill="FFFFFF"/>
              <w:spacing w:after="0" w:line="240" w:lineRule="auto"/>
              <w:jc w:val="both"/>
              <w:rPr>
                <w:rFonts w:ascii="Overpass" w:eastAsia="Times New Roman" w:hAnsi="Overpass" w:cs="Calibri"/>
                <w:color w:val="212121"/>
                <w:lang w:eastAsia="it-IT"/>
              </w:rPr>
            </w:pPr>
            <w:r w:rsidRPr="006E0488">
              <w:rPr>
                <w:rFonts w:ascii="Overpass" w:eastAsia="Times New Roman" w:hAnsi="Overpass" w:cs="Calibri"/>
                <w:color w:val="212121"/>
                <w:lang w:eastAsia="it-IT"/>
              </w:rPr>
              <w:t>(89)</w:t>
            </w:r>
          </w:p>
        </w:tc>
      </w:tr>
      <w:tr w:rsidR="006E0488" w:rsidRPr="006E0488" w14:paraId="2AAE39C3" w14:textId="77777777" w:rsidTr="006E0488">
        <w:trPr>
          <w:gridAfter w:val="1"/>
          <w:wAfter w:w="14" w:type="dxa"/>
        </w:trPr>
        <w:tc>
          <w:tcPr>
            <w:tcW w:w="4253" w:type="dxa"/>
            <w:vAlign w:val="bottom"/>
            <w:hideMark/>
          </w:tcPr>
          <w:p w14:paraId="1E7BBF52" w14:textId="77777777" w:rsidR="006E0488" w:rsidRPr="006E0488" w:rsidRDefault="006E0488" w:rsidP="006E0488">
            <w:pPr>
              <w:shd w:val="clear" w:color="auto" w:fill="FFFFFF"/>
              <w:spacing w:after="0" w:line="240" w:lineRule="auto"/>
              <w:jc w:val="both"/>
              <w:rPr>
                <w:rFonts w:ascii="Overpass" w:eastAsia="Times New Roman" w:hAnsi="Overpass" w:cs="Calibri"/>
                <w:color w:val="212121"/>
                <w:lang w:eastAsia="it-IT"/>
              </w:rPr>
            </w:pPr>
            <w:r w:rsidRPr="006E0488">
              <w:rPr>
                <w:rFonts w:ascii="Overpass" w:eastAsia="Times New Roman" w:hAnsi="Overpass" w:cs="Calibri"/>
                <w:color w:val="212121"/>
                <w:lang w:eastAsia="it-IT"/>
              </w:rPr>
              <w:t>Depreciation</w:t>
            </w:r>
          </w:p>
        </w:tc>
        <w:tc>
          <w:tcPr>
            <w:tcW w:w="1661" w:type="dxa"/>
            <w:tcMar>
              <w:top w:w="15" w:type="dxa"/>
              <w:left w:w="15" w:type="dxa"/>
              <w:bottom w:w="15" w:type="dxa"/>
              <w:right w:w="0" w:type="dxa"/>
            </w:tcMar>
            <w:vAlign w:val="bottom"/>
            <w:hideMark/>
          </w:tcPr>
          <w:p w14:paraId="0C675F12" w14:textId="77777777" w:rsidR="006E0488" w:rsidRPr="006E0488" w:rsidRDefault="006E0488" w:rsidP="006E0488">
            <w:pPr>
              <w:shd w:val="clear" w:color="auto" w:fill="FFFFFF"/>
              <w:spacing w:after="0" w:line="240" w:lineRule="auto"/>
              <w:jc w:val="both"/>
              <w:rPr>
                <w:rFonts w:ascii="Overpass" w:eastAsia="Times New Roman" w:hAnsi="Overpass" w:cs="Calibri"/>
                <w:color w:val="212121"/>
                <w:lang w:eastAsia="it-IT"/>
              </w:rPr>
            </w:pPr>
            <w:r w:rsidRPr="006E0488">
              <w:rPr>
                <w:rFonts w:ascii="Overpass" w:eastAsia="Times New Roman" w:hAnsi="Overpass" w:cs="Calibri"/>
                <w:color w:val="212121"/>
                <w:lang w:eastAsia="it-IT"/>
              </w:rPr>
              <w:t>16,174</w:t>
            </w:r>
          </w:p>
        </w:tc>
        <w:tc>
          <w:tcPr>
            <w:tcW w:w="1032" w:type="dxa"/>
            <w:gridSpan w:val="2"/>
            <w:vAlign w:val="bottom"/>
            <w:hideMark/>
          </w:tcPr>
          <w:p w14:paraId="74B6E471" w14:textId="77777777" w:rsidR="006E0488" w:rsidRPr="006E0488" w:rsidRDefault="006E0488" w:rsidP="006E0488">
            <w:pPr>
              <w:shd w:val="clear" w:color="auto" w:fill="FFFFFF"/>
              <w:spacing w:after="0" w:line="240" w:lineRule="auto"/>
              <w:jc w:val="both"/>
              <w:rPr>
                <w:rFonts w:ascii="Overpass" w:eastAsia="Times New Roman" w:hAnsi="Overpass" w:cs="Calibri"/>
                <w:color w:val="212121"/>
                <w:lang w:eastAsia="it-IT"/>
              </w:rPr>
            </w:pPr>
            <w:r w:rsidRPr="006E0488">
              <w:rPr>
                <w:rFonts w:ascii="Overpass" w:eastAsia="Times New Roman" w:hAnsi="Overpass" w:cs="Calibri"/>
                <w:color w:val="212121"/>
                <w:lang w:eastAsia="it-IT"/>
              </w:rPr>
              <w:t> </w:t>
            </w:r>
          </w:p>
        </w:tc>
        <w:tc>
          <w:tcPr>
            <w:tcW w:w="2588" w:type="dxa"/>
            <w:gridSpan w:val="2"/>
            <w:tcMar>
              <w:top w:w="15" w:type="dxa"/>
              <w:left w:w="15" w:type="dxa"/>
              <w:bottom w:w="15" w:type="dxa"/>
              <w:right w:w="0" w:type="dxa"/>
            </w:tcMar>
            <w:vAlign w:val="bottom"/>
            <w:hideMark/>
          </w:tcPr>
          <w:p w14:paraId="2766B804" w14:textId="77777777" w:rsidR="006E0488" w:rsidRPr="006E0488" w:rsidRDefault="006E0488" w:rsidP="006E0488">
            <w:pPr>
              <w:shd w:val="clear" w:color="auto" w:fill="FFFFFF"/>
              <w:spacing w:after="0" w:line="240" w:lineRule="auto"/>
              <w:jc w:val="both"/>
              <w:rPr>
                <w:rFonts w:ascii="Overpass" w:eastAsia="Times New Roman" w:hAnsi="Overpass" w:cs="Calibri"/>
                <w:color w:val="212121"/>
                <w:lang w:eastAsia="it-IT"/>
              </w:rPr>
            </w:pPr>
            <w:r w:rsidRPr="006E0488">
              <w:rPr>
                <w:rFonts w:ascii="Overpass" w:eastAsia="Times New Roman" w:hAnsi="Overpass" w:cs="Calibri"/>
                <w:color w:val="212121"/>
                <w:lang w:eastAsia="it-IT"/>
              </w:rPr>
              <w:t>7,604</w:t>
            </w:r>
          </w:p>
        </w:tc>
      </w:tr>
      <w:tr w:rsidR="006E0488" w:rsidRPr="006E0488" w14:paraId="58C9FF38" w14:textId="77777777" w:rsidTr="006E0488">
        <w:trPr>
          <w:gridAfter w:val="1"/>
          <w:wAfter w:w="14" w:type="dxa"/>
        </w:trPr>
        <w:tc>
          <w:tcPr>
            <w:tcW w:w="4253" w:type="dxa"/>
            <w:vAlign w:val="bottom"/>
            <w:hideMark/>
          </w:tcPr>
          <w:p w14:paraId="78EAAC2D" w14:textId="77777777" w:rsidR="006E0488" w:rsidRPr="006E0488" w:rsidRDefault="006E0488" w:rsidP="006E0488">
            <w:pPr>
              <w:shd w:val="clear" w:color="auto" w:fill="FFFFFF"/>
              <w:spacing w:after="0" w:line="240" w:lineRule="auto"/>
              <w:jc w:val="both"/>
              <w:rPr>
                <w:rFonts w:ascii="Overpass" w:eastAsia="Times New Roman" w:hAnsi="Overpass" w:cs="Calibri"/>
                <w:color w:val="212121"/>
                <w:lang w:eastAsia="it-IT"/>
              </w:rPr>
            </w:pPr>
            <w:r w:rsidRPr="006E0488">
              <w:rPr>
                <w:rFonts w:ascii="Overpass" w:eastAsia="Times New Roman" w:hAnsi="Overpass" w:cs="Calibri"/>
                <w:color w:val="212121"/>
                <w:lang w:eastAsia="it-IT"/>
              </w:rPr>
              <w:t>Share-based compensation expenses</w:t>
            </w:r>
          </w:p>
        </w:tc>
        <w:tc>
          <w:tcPr>
            <w:tcW w:w="1661" w:type="dxa"/>
            <w:tcMar>
              <w:top w:w="15" w:type="dxa"/>
              <w:left w:w="15" w:type="dxa"/>
              <w:bottom w:w="15" w:type="dxa"/>
              <w:right w:w="0" w:type="dxa"/>
            </w:tcMar>
            <w:vAlign w:val="bottom"/>
            <w:hideMark/>
          </w:tcPr>
          <w:p w14:paraId="5DDC3F58" w14:textId="77777777" w:rsidR="006E0488" w:rsidRPr="006E0488" w:rsidRDefault="006E0488" w:rsidP="006E0488">
            <w:pPr>
              <w:shd w:val="clear" w:color="auto" w:fill="FFFFFF"/>
              <w:spacing w:after="0" w:line="240" w:lineRule="auto"/>
              <w:jc w:val="both"/>
              <w:rPr>
                <w:rFonts w:ascii="Overpass" w:eastAsia="Times New Roman" w:hAnsi="Overpass" w:cs="Calibri"/>
                <w:color w:val="212121"/>
                <w:lang w:eastAsia="it-IT"/>
              </w:rPr>
            </w:pPr>
            <w:r w:rsidRPr="006E0488">
              <w:rPr>
                <w:rFonts w:ascii="Overpass" w:eastAsia="Times New Roman" w:hAnsi="Overpass" w:cs="Calibri"/>
                <w:color w:val="212121"/>
                <w:lang w:eastAsia="it-IT"/>
              </w:rPr>
              <w:t>35,323</w:t>
            </w:r>
          </w:p>
        </w:tc>
        <w:tc>
          <w:tcPr>
            <w:tcW w:w="1032" w:type="dxa"/>
            <w:gridSpan w:val="2"/>
            <w:vAlign w:val="bottom"/>
            <w:hideMark/>
          </w:tcPr>
          <w:p w14:paraId="6576FCB1" w14:textId="77777777" w:rsidR="006E0488" w:rsidRPr="006E0488" w:rsidRDefault="006E0488" w:rsidP="006E0488">
            <w:pPr>
              <w:shd w:val="clear" w:color="auto" w:fill="FFFFFF"/>
              <w:spacing w:after="0" w:line="240" w:lineRule="auto"/>
              <w:jc w:val="both"/>
              <w:rPr>
                <w:rFonts w:ascii="Overpass" w:eastAsia="Times New Roman" w:hAnsi="Overpass" w:cs="Calibri"/>
                <w:color w:val="212121"/>
                <w:lang w:eastAsia="it-IT"/>
              </w:rPr>
            </w:pPr>
            <w:r w:rsidRPr="006E0488">
              <w:rPr>
                <w:rFonts w:ascii="Overpass" w:eastAsia="Times New Roman" w:hAnsi="Overpass" w:cs="Calibri"/>
                <w:color w:val="212121"/>
                <w:lang w:eastAsia="it-IT"/>
              </w:rPr>
              <w:t> </w:t>
            </w:r>
          </w:p>
        </w:tc>
        <w:tc>
          <w:tcPr>
            <w:tcW w:w="2588" w:type="dxa"/>
            <w:gridSpan w:val="2"/>
            <w:tcMar>
              <w:top w:w="15" w:type="dxa"/>
              <w:left w:w="15" w:type="dxa"/>
              <w:bottom w:w="15" w:type="dxa"/>
              <w:right w:w="0" w:type="dxa"/>
            </w:tcMar>
            <w:vAlign w:val="bottom"/>
            <w:hideMark/>
          </w:tcPr>
          <w:p w14:paraId="20C8F775" w14:textId="77777777" w:rsidR="006E0488" w:rsidRPr="006E0488" w:rsidRDefault="006E0488" w:rsidP="006E0488">
            <w:pPr>
              <w:shd w:val="clear" w:color="auto" w:fill="FFFFFF"/>
              <w:spacing w:after="0" w:line="240" w:lineRule="auto"/>
              <w:jc w:val="both"/>
              <w:rPr>
                <w:rFonts w:ascii="Overpass" w:eastAsia="Times New Roman" w:hAnsi="Overpass" w:cs="Calibri"/>
                <w:color w:val="212121"/>
                <w:lang w:eastAsia="it-IT"/>
              </w:rPr>
            </w:pPr>
            <w:r w:rsidRPr="006E0488">
              <w:rPr>
                <w:rFonts w:ascii="Overpass" w:eastAsia="Times New Roman" w:hAnsi="Overpass" w:cs="Calibri"/>
                <w:color w:val="212121"/>
                <w:lang w:eastAsia="it-IT"/>
              </w:rPr>
              <w:t>-</w:t>
            </w:r>
          </w:p>
        </w:tc>
      </w:tr>
      <w:tr w:rsidR="006E0488" w:rsidRPr="006E0488" w14:paraId="1740AF16" w14:textId="77777777" w:rsidTr="006E0488">
        <w:trPr>
          <w:gridAfter w:val="1"/>
          <w:wAfter w:w="14" w:type="dxa"/>
        </w:trPr>
        <w:tc>
          <w:tcPr>
            <w:tcW w:w="4253" w:type="dxa"/>
            <w:vAlign w:val="bottom"/>
            <w:hideMark/>
          </w:tcPr>
          <w:p w14:paraId="5850FEA1" w14:textId="77777777" w:rsidR="006E0488" w:rsidRPr="006E0488" w:rsidRDefault="006E0488" w:rsidP="006E0488">
            <w:pPr>
              <w:shd w:val="clear" w:color="auto" w:fill="FFFFFF"/>
              <w:spacing w:after="0" w:line="240" w:lineRule="auto"/>
              <w:jc w:val="both"/>
              <w:rPr>
                <w:rFonts w:ascii="Overpass" w:eastAsia="Times New Roman" w:hAnsi="Overpass" w:cs="Calibri"/>
                <w:color w:val="212121"/>
                <w:lang w:eastAsia="it-IT"/>
              </w:rPr>
            </w:pPr>
            <w:r w:rsidRPr="006E0488">
              <w:rPr>
                <w:rFonts w:ascii="Overpass" w:eastAsia="Times New Roman" w:hAnsi="Overpass" w:cs="Calibri"/>
                <w:b/>
                <w:bCs/>
                <w:color w:val="212121"/>
                <w:lang w:eastAsia="it-IT"/>
              </w:rPr>
              <w:t>Adjusted EBITDA</w:t>
            </w:r>
          </w:p>
        </w:tc>
        <w:tc>
          <w:tcPr>
            <w:tcW w:w="1661" w:type="dxa"/>
            <w:tcBorders>
              <w:top w:val="single" w:sz="8" w:space="0" w:color="000000"/>
              <w:bottom w:val="double" w:sz="6" w:space="0" w:color="000000"/>
            </w:tcBorders>
            <w:tcMar>
              <w:top w:w="15" w:type="dxa"/>
              <w:left w:w="15" w:type="dxa"/>
              <w:bottom w:w="15" w:type="dxa"/>
              <w:right w:w="0" w:type="dxa"/>
            </w:tcMar>
            <w:vAlign w:val="bottom"/>
            <w:hideMark/>
          </w:tcPr>
          <w:p w14:paraId="364546EC" w14:textId="77777777" w:rsidR="006E0488" w:rsidRPr="006E0488" w:rsidRDefault="006E0488" w:rsidP="006E0488">
            <w:pPr>
              <w:shd w:val="clear" w:color="auto" w:fill="FFFFFF"/>
              <w:spacing w:after="0" w:line="240" w:lineRule="auto"/>
              <w:jc w:val="both"/>
              <w:rPr>
                <w:rFonts w:ascii="Overpass" w:eastAsia="Times New Roman" w:hAnsi="Overpass" w:cs="Calibri"/>
                <w:color w:val="212121"/>
                <w:lang w:eastAsia="it-IT"/>
              </w:rPr>
            </w:pPr>
            <w:r w:rsidRPr="006E0488">
              <w:rPr>
                <w:rFonts w:ascii="Overpass" w:eastAsia="Times New Roman" w:hAnsi="Overpass" w:cs="Calibri"/>
                <w:b/>
                <w:bCs/>
                <w:color w:val="212121"/>
                <w:lang w:eastAsia="it-IT"/>
              </w:rPr>
              <w:t>(204,304)</w:t>
            </w:r>
          </w:p>
        </w:tc>
        <w:tc>
          <w:tcPr>
            <w:tcW w:w="1032" w:type="dxa"/>
            <w:gridSpan w:val="2"/>
            <w:vAlign w:val="bottom"/>
            <w:hideMark/>
          </w:tcPr>
          <w:p w14:paraId="1ABE9CCF" w14:textId="77777777" w:rsidR="006E0488" w:rsidRPr="006E0488" w:rsidRDefault="006E0488" w:rsidP="006E0488">
            <w:pPr>
              <w:shd w:val="clear" w:color="auto" w:fill="FFFFFF"/>
              <w:spacing w:after="0" w:line="240" w:lineRule="auto"/>
              <w:jc w:val="both"/>
              <w:rPr>
                <w:rFonts w:ascii="Overpass" w:eastAsia="Times New Roman" w:hAnsi="Overpass" w:cs="Calibri"/>
                <w:color w:val="212121"/>
                <w:lang w:eastAsia="it-IT"/>
              </w:rPr>
            </w:pPr>
            <w:r w:rsidRPr="006E0488">
              <w:rPr>
                <w:rFonts w:ascii="Overpass" w:eastAsia="Times New Roman" w:hAnsi="Overpass" w:cs="Calibri"/>
                <w:color w:val="212121"/>
                <w:lang w:eastAsia="it-IT"/>
              </w:rPr>
              <w:t> </w:t>
            </w:r>
          </w:p>
        </w:tc>
        <w:tc>
          <w:tcPr>
            <w:tcW w:w="2588" w:type="dxa"/>
            <w:gridSpan w:val="2"/>
            <w:tcBorders>
              <w:top w:val="single" w:sz="8" w:space="0" w:color="000000"/>
              <w:bottom w:val="double" w:sz="6" w:space="0" w:color="000000"/>
            </w:tcBorders>
            <w:tcMar>
              <w:top w:w="15" w:type="dxa"/>
              <w:left w:w="15" w:type="dxa"/>
              <w:bottom w:w="15" w:type="dxa"/>
              <w:right w:w="0" w:type="dxa"/>
            </w:tcMar>
            <w:vAlign w:val="bottom"/>
            <w:hideMark/>
          </w:tcPr>
          <w:p w14:paraId="1D927935" w14:textId="77777777" w:rsidR="006E0488" w:rsidRPr="006E0488" w:rsidRDefault="006E0488" w:rsidP="006E0488">
            <w:pPr>
              <w:shd w:val="clear" w:color="auto" w:fill="FFFFFF"/>
              <w:spacing w:after="0" w:line="240" w:lineRule="auto"/>
              <w:jc w:val="both"/>
              <w:rPr>
                <w:rFonts w:ascii="Overpass" w:eastAsia="Times New Roman" w:hAnsi="Overpass" w:cs="Calibri"/>
                <w:color w:val="212121"/>
                <w:lang w:eastAsia="it-IT"/>
              </w:rPr>
            </w:pPr>
            <w:r w:rsidRPr="006E0488">
              <w:rPr>
                <w:rFonts w:ascii="Overpass" w:eastAsia="Times New Roman" w:hAnsi="Overpass" w:cs="Calibri"/>
                <w:b/>
                <w:bCs/>
                <w:color w:val="212121"/>
                <w:lang w:eastAsia="it-IT"/>
              </w:rPr>
              <w:t>(154,395)</w:t>
            </w:r>
          </w:p>
        </w:tc>
      </w:tr>
      <w:tr w:rsidR="006E0488" w:rsidRPr="006E0488" w14:paraId="66F53289" w14:textId="77777777" w:rsidTr="006E0488">
        <w:trPr>
          <w:gridAfter w:val="2"/>
          <w:wAfter w:w="46" w:type="dxa"/>
        </w:trPr>
        <w:tc>
          <w:tcPr>
            <w:tcW w:w="9502" w:type="dxa"/>
            <w:gridSpan w:val="5"/>
            <w:vAlign w:val="bottom"/>
            <w:hideMark/>
          </w:tcPr>
          <w:p w14:paraId="2789A7C0" w14:textId="77777777" w:rsidR="006E0488" w:rsidRPr="006E0488" w:rsidRDefault="006E0488" w:rsidP="006E0488">
            <w:pPr>
              <w:shd w:val="clear" w:color="auto" w:fill="FFFFFF"/>
              <w:spacing w:after="0" w:line="240" w:lineRule="auto"/>
              <w:jc w:val="both"/>
              <w:rPr>
                <w:rFonts w:ascii="Overpass" w:eastAsia="Times New Roman" w:hAnsi="Overpass" w:cs="Calibri"/>
                <w:color w:val="212121"/>
                <w:lang w:eastAsia="it-IT"/>
              </w:rPr>
            </w:pPr>
            <w:r w:rsidRPr="006E0488">
              <w:rPr>
                <w:rFonts w:ascii="Overpass" w:eastAsia="Times New Roman" w:hAnsi="Overpass" w:cs="Calibri"/>
                <w:color w:val="212121"/>
                <w:lang w:eastAsia="it-IT"/>
              </w:rPr>
              <w:t> </w:t>
            </w:r>
          </w:p>
        </w:tc>
      </w:tr>
    </w:tbl>
    <w:p w14:paraId="67A09E0A" w14:textId="77777777" w:rsidR="006E0488" w:rsidRPr="006E0488" w:rsidRDefault="006E0488" w:rsidP="006E0488">
      <w:pPr>
        <w:shd w:val="clear" w:color="auto" w:fill="FFFFFF"/>
        <w:spacing w:after="0" w:line="240" w:lineRule="auto"/>
        <w:jc w:val="both"/>
        <w:rPr>
          <w:rFonts w:ascii="Overpass" w:eastAsia="Times New Roman" w:hAnsi="Overpass" w:cs="Calibri"/>
          <w:color w:val="212121"/>
          <w:lang w:eastAsia="it-IT"/>
        </w:rPr>
      </w:pPr>
    </w:p>
    <w:p w14:paraId="6CEFC09B" w14:textId="77777777" w:rsidR="006E0488" w:rsidRPr="00BE3951" w:rsidRDefault="006E0488" w:rsidP="00BE3951">
      <w:pPr>
        <w:shd w:val="clear" w:color="auto" w:fill="FFFFFF"/>
        <w:spacing w:after="0" w:line="240" w:lineRule="auto"/>
        <w:jc w:val="both"/>
        <w:rPr>
          <w:rFonts w:ascii="Overpass" w:eastAsia="Times New Roman" w:hAnsi="Overpass" w:cs="Calibri"/>
          <w:color w:val="212121"/>
          <w:lang w:eastAsia="it-IT"/>
        </w:rPr>
      </w:pPr>
    </w:p>
    <w:p w14:paraId="6F650EE2" w14:textId="77777777" w:rsidR="00BE3951" w:rsidRDefault="00BE3951" w:rsidP="001719B6">
      <w:pPr>
        <w:shd w:val="clear" w:color="auto" w:fill="FFFFFF"/>
        <w:spacing w:after="0" w:line="240" w:lineRule="auto"/>
        <w:jc w:val="both"/>
        <w:rPr>
          <w:rFonts w:ascii="Overpass" w:eastAsia="Times New Roman" w:hAnsi="Overpass" w:cs="Calibri"/>
          <w:color w:val="212121"/>
          <w:lang w:eastAsia="it-IT"/>
        </w:rPr>
      </w:pPr>
    </w:p>
    <w:p w14:paraId="7541807E" w14:textId="77777777" w:rsidR="00BE3951" w:rsidRDefault="00BE3951" w:rsidP="001719B6">
      <w:pPr>
        <w:shd w:val="clear" w:color="auto" w:fill="FFFFFF"/>
        <w:spacing w:after="0" w:line="240" w:lineRule="auto"/>
        <w:jc w:val="both"/>
        <w:rPr>
          <w:rFonts w:ascii="Overpass" w:eastAsia="Times New Roman" w:hAnsi="Overpass" w:cs="Calibri"/>
          <w:color w:val="212121"/>
          <w:lang w:eastAsia="it-IT"/>
        </w:rPr>
      </w:pPr>
    </w:p>
    <w:p w14:paraId="1DA19F6B" w14:textId="77777777" w:rsidR="00BE3951" w:rsidRPr="001719B6" w:rsidRDefault="00BE3951" w:rsidP="001719B6">
      <w:pPr>
        <w:shd w:val="clear" w:color="auto" w:fill="FFFFFF"/>
        <w:spacing w:after="0" w:line="240" w:lineRule="auto"/>
        <w:jc w:val="both"/>
        <w:rPr>
          <w:rFonts w:ascii="Overpass" w:eastAsia="Times New Roman" w:hAnsi="Overpass" w:cs="Calibri"/>
          <w:color w:val="212121"/>
          <w:lang w:eastAsia="it-IT"/>
        </w:rPr>
      </w:pPr>
    </w:p>
    <w:p w14:paraId="0EEE6396" w14:textId="77777777" w:rsidR="001719B6" w:rsidRDefault="001719B6" w:rsidP="00E409EF">
      <w:pPr>
        <w:spacing w:after="0" w:line="240" w:lineRule="auto"/>
        <w:rPr>
          <w:rFonts w:ascii="Overpass" w:hAnsi="Overpass"/>
          <w:noProof/>
        </w:rPr>
      </w:pPr>
    </w:p>
    <w:p w14:paraId="4706047B" w14:textId="77777777" w:rsidR="00014AEC" w:rsidRDefault="00014AEC" w:rsidP="00E409EF">
      <w:pPr>
        <w:spacing w:after="0" w:line="240" w:lineRule="auto"/>
        <w:rPr>
          <w:rFonts w:ascii="Overpass" w:hAnsi="Overpass"/>
          <w:noProof/>
        </w:rPr>
      </w:pPr>
    </w:p>
    <w:p w14:paraId="30E8D266" w14:textId="77777777" w:rsidR="006E0488" w:rsidRDefault="006E0488" w:rsidP="00E409EF">
      <w:pPr>
        <w:spacing w:after="0" w:line="240" w:lineRule="auto"/>
        <w:rPr>
          <w:rFonts w:ascii="Overpass" w:hAnsi="Overpass"/>
          <w:noProof/>
        </w:rPr>
      </w:pPr>
    </w:p>
    <w:p w14:paraId="578B5F89" w14:textId="77777777" w:rsidR="006E0488" w:rsidRPr="001719B6" w:rsidRDefault="006E0488" w:rsidP="00E409EF">
      <w:pPr>
        <w:spacing w:after="0" w:line="240" w:lineRule="auto"/>
        <w:rPr>
          <w:rFonts w:ascii="Overpass" w:hAnsi="Overpass"/>
          <w:noProof/>
        </w:rPr>
      </w:pPr>
    </w:p>
    <w:p w14:paraId="70695657" w14:textId="77777777" w:rsidR="00E409EF" w:rsidRDefault="00E409EF" w:rsidP="00E409EF">
      <w:pPr>
        <w:spacing w:after="0" w:line="240" w:lineRule="auto"/>
        <w:rPr>
          <w:rFonts w:ascii="Overpass" w:hAnsi="Overpass"/>
          <w:noProof/>
        </w:rPr>
      </w:pPr>
      <w:r>
        <w:rPr>
          <w:rFonts w:ascii="Overpass" w:hAnsi="Overpass"/>
          <w:noProof/>
        </w:rPr>
        <w:t xml:space="preserve">The </w:t>
      </w:r>
      <w:hyperlink r:id="rId15" w:tgtFrame="_blank" w:history="1">
        <w:r>
          <w:rPr>
            <w:rStyle w:val="Hyperlink"/>
            <w:rFonts w:ascii="Overpass" w:hAnsi="Overpass"/>
            <w:b/>
            <w:bCs/>
            <w:noProof/>
          </w:rPr>
          <w:t>Lotus Media Site</w:t>
        </w:r>
      </w:hyperlink>
      <w:r>
        <w:rPr>
          <w:rFonts w:ascii="Overpass" w:hAnsi="Overpass"/>
          <w:noProof/>
        </w:rPr>
        <w:t xml:space="preserve"> contains news, images, films, technical specifications, and full details of current models, as well as heritage cars and engineering technology. </w:t>
      </w:r>
    </w:p>
    <w:p w14:paraId="14223109" w14:textId="77777777" w:rsidR="00E409EF" w:rsidRDefault="00E409EF" w:rsidP="00E409EF">
      <w:pPr>
        <w:spacing w:after="0" w:line="240" w:lineRule="auto"/>
        <w:rPr>
          <w:rFonts w:ascii="Overpass" w:hAnsi="Overpass"/>
          <w:noProof/>
        </w:rPr>
      </w:pPr>
    </w:p>
    <w:p w14:paraId="7EBFD4CC" w14:textId="77777777" w:rsidR="00E409EF" w:rsidRDefault="00E409EF" w:rsidP="00E409EF">
      <w:pPr>
        <w:spacing w:after="0" w:line="240" w:lineRule="auto"/>
        <w:rPr>
          <w:rFonts w:ascii="Overpass" w:hAnsi="Overpass"/>
          <w:noProof/>
        </w:rPr>
      </w:pPr>
      <w:r>
        <w:rPr>
          <w:rFonts w:ascii="Overpass" w:hAnsi="Overpass"/>
          <w:noProof/>
        </w:rPr>
        <w:t>For Lotus Cars on social media please follow: </w:t>
      </w:r>
    </w:p>
    <w:p w14:paraId="20538E99" w14:textId="4890C739" w:rsidR="00E409EF" w:rsidRDefault="00E409EF" w:rsidP="00E409EF">
      <w:pPr>
        <w:spacing w:after="0" w:line="240" w:lineRule="auto"/>
        <w:rPr>
          <w:rFonts w:ascii="Overpass" w:hAnsi="Overpass"/>
          <w:noProof/>
        </w:rPr>
      </w:pPr>
      <w:r>
        <w:rPr>
          <w:rFonts w:ascii="Calibri" w:hAnsi="Calibri"/>
          <w:noProof/>
        </w:rPr>
        <w:drawing>
          <wp:anchor distT="0" distB="0" distL="114300" distR="114300" simplePos="0" relativeHeight="251659264" behindDoc="1" locked="0" layoutInCell="1" allowOverlap="1" wp14:anchorId="32D29A55" wp14:editId="5516037D">
            <wp:simplePos x="0" y="0"/>
            <wp:positionH relativeFrom="column">
              <wp:posOffset>1174115</wp:posOffset>
            </wp:positionH>
            <wp:positionV relativeFrom="paragraph">
              <wp:posOffset>201295</wp:posOffset>
            </wp:positionV>
            <wp:extent cx="422910" cy="422910"/>
            <wp:effectExtent l="0" t="0" r="0" b="0"/>
            <wp:wrapTight wrapText="bothSides">
              <wp:wrapPolygon edited="0">
                <wp:start x="9730" y="973"/>
                <wp:lineTo x="5838" y="7784"/>
                <wp:lineTo x="6811" y="19459"/>
                <wp:lineTo x="12649" y="19459"/>
                <wp:lineTo x="13622" y="17514"/>
                <wp:lineTo x="15568" y="973"/>
                <wp:lineTo x="9730" y="973"/>
              </wp:wrapPolygon>
            </wp:wrapTight>
            <wp:docPr id="1543715698" name="Picture 5" descr="A black background with a black squa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2096068" descr="A black background with a black square&#10;&#10;Description automatically generated with medium confidence"/>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22910" cy="422910"/>
                    </a:xfrm>
                    <a:prstGeom prst="rect">
                      <a:avLst/>
                    </a:prstGeom>
                    <a:noFill/>
                  </pic:spPr>
                </pic:pic>
              </a:graphicData>
            </a:graphic>
            <wp14:sizeRelH relativeFrom="page">
              <wp14:pctWidth>0</wp14:pctWidth>
            </wp14:sizeRelH>
            <wp14:sizeRelV relativeFrom="page">
              <wp14:pctHeight>0</wp14:pctHeight>
            </wp14:sizeRelV>
          </wp:anchor>
        </w:drawing>
      </w:r>
      <w:r>
        <w:rPr>
          <w:rFonts w:ascii="Calibri" w:hAnsi="Calibri"/>
          <w:noProof/>
        </w:rPr>
        <w:drawing>
          <wp:anchor distT="0" distB="0" distL="114300" distR="114300" simplePos="0" relativeHeight="251660288" behindDoc="1" locked="0" layoutInCell="1" allowOverlap="1" wp14:anchorId="54778D83" wp14:editId="75012D73">
            <wp:simplePos x="0" y="0"/>
            <wp:positionH relativeFrom="column">
              <wp:posOffset>837565</wp:posOffset>
            </wp:positionH>
            <wp:positionV relativeFrom="paragraph">
              <wp:posOffset>201295</wp:posOffset>
            </wp:positionV>
            <wp:extent cx="444500" cy="444500"/>
            <wp:effectExtent l="0" t="0" r="0" b="0"/>
            <wp:wrapTight wrapText="bothSides">
              <wp:wrapPolygon edited="0">
                <wp:start x="3703" y="926"/>
                <wp:lineTo x="1851" y="5554"/>
                <wp:lineTo x="1851" y="13886"/>
                <wp:lineTo x="3703" y="19440"/>
                <wp:lineTo x="16663" y="19440"/>
                <wp:lineTo x="18514" y="13886"/>
                <wp:lineTo x="18514" y="5554"/>
                <wp:lineTo x="16663" y="926"/>
                <wp:lineTo x="3703" y="926"/>
              </wp:wrapPolygon>
            </wp:wrapTight>
            <wp:docPr id="591000666" name="Picture 4" descr="A black background with a black squa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94875272" descr="A black background with a black square&#10;&#10;Description automatically generated with medium confidence"/>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44500" cy="444500"/>
                    </a:xfrm>
                    <a:prstGeom prst="rect">
                      <a:avLst/>
                    </a:prstGeom>
                    <a:noFill/>
                  </pic:spPr>
                </pic:pic>
              </a:graphicData>
            </a:graphic>
            <wp14:sizeRelH relativeFrom="page">
              <wp14:pctWidth>0</wp14:pctWidth>
            </wp14:sizeRelH>
            <wp14:sizeRelV relativeFrom="page">
              <wp14:pctHeight>0</wp14:pctHeight>
            </wp14:sizeRelV>
          </wp:anchor>
        </w:drawing>
      </w:r>
      <w:r>
        <w:rPr>
          <w:rFonts w:ascii="Calibri" w:hAnsi="Calibri"/>
          <w:noProof/>
        </w:rPr>
        <w:drawing>
          <wp:anchor distT="0" distB="0" distL="114300" distR="114300" simplePos="0" relativeHeight="251661312" behindDoc="1" locked="0" layoutInCell="1" allowOverlap="1" wp14:anchorId="097CC43E" wp14:editId="0B7A9D2B">
            <wp:simplePos x="0" y="0"/>
            <wp:positionH relativeFrom="column">
              <wp:posOffset>361315</wp:posOffset>
            </wp:positionH>
            <wp:positionV relativeFrom="paragraph">
              <wp:posOffset>133985</wp:posOffset>
            </wp:positionV>
            <wp:extent cx="537210" cy="537210"/>
            <wp:effectExtent l="0" t="0" r="0" b="0"/>
            <wp:wrapTight wrapText="bothSides">
              <wp:wrapPolygon edited="0">
                <wp:start x="4596" y="2298"/>
                <wp:lineTo x="3830" y="4596"/>
                <wp:lineTo x="3064" y="17617"/>
                <wp:lineTo x="17617" y="17617"/>
                <wp:lineTo x="18383" y="11489"/>
                <wp:lineTo x="15319" y="6894"/>
                <wp:lineTo x="8426" y="2298"/>
                <wp:lineTo x="4596" y="2298"/>
              </wp:wrapPolygon>
            </wp:wrapTight>
            <wp:docPr id="1882239121" name="Picture 3" descr="A black background with a black squa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4999370" descr="A black background with a black square&#10;&#10;Description automatically generated with medium confidence"/>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37210" cy="537210"/>
                    </a:xfrm>
                    <a:prstGeom prst="rect">
                      <a:avLst/>
                    </a:prstGeom>
                    <a:noFill/>
                  </pic:spPr>
                </pic:pic>
              </a:graphicData>
            </a:graphic>
            <wp14:sizeRelH relativeFrom="page">
              <wp14:pctWidth>0</wp14:pctWidth>
            </wp14:sizeRelH>
            <wp14:sizeRelV relativeFrom="page">
              <wp14:pctHeight>0</wp14:pctHeight>
            </wp14:sizeRelV>
          </wp:anchor>
        </w:drawing>
      </w:r>
      <w:r>
        <w:rPr>
          <w:rFonts w:ascii="Calibri" w:hAnsi="Calibri"/>
          <w:noProof/>
        </w:rPr>
        <w:drawing>
          <wp:anchor distT="0" distB="0" distL="114300" distR="114300" simplePos="0" relativeHeight="251662336" behindDoc="1" locked="0" layoutInCell="1" allowOverlap="1" wp14:anchorId="12813659" wp14:editId="58C2272E">
            <wp:simplePos x="0" y="0"/>
            <wp:positionH relativeFrom="margin">
              <wp:posOffset>0</wp:posOffset>
            </wp:positionH>
            <wp:positionV relativeFrom="paragraph">
              <wp:posOffset>239395</wp:posOffset>
            </wp:positionV>
            <wp:extent cx="374650" cy="351790"/>
            <wp:effectExtent l="0" t="0" r="6350" b="0"/>
            <wp:wrapTight wrapText="bothSides">
              <wp:wrapPolygon edited="0">
                <wp:start x="1098" y="0"/>
                <wp:lineTo x="0" y="19884"/>
                <wp:lineTo x="20868" y="19884"/>
                <wp:lineTo x="20868" y="0"/>
                <wp:lineTo x="1098" y="0"/>
              </wp:wrapPolygon>
            </wp:wrapTight>
            <wp:docPr id="182449842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418671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74650" cy="351790"/>
                    </a:xfrm>
                    <a:prstGeom prst="rect">
                      <a:avLst/>
                    </a:prstGeom>
                    <a:noFill/>
                  </pic:spPr>
                </pic:pic>
              </a:graphicData>
            </a:graphic>
            <wp14:sizeRelH relativeFrom="page">
              <wp14:pctWidth>0</wp14:pctWidth>
            </wp14:sizeRelH>
            <wp14:sizeRelV relativeFrom="page">
              <wp14:pctHeight>0</wp14:pctHeight>
            </wp14:sizeRelV>
          </wp:anchor>
        </w:drawing>
      </w:r>
      <w:r>
        <w:rPr>
          <w:rFonts w:ascii="Calibri" w:hAnsi="Calibri"/>
          <w:noProof/>
        </w:rPr>
        <w:drawing>
          <wp:anchor distT="0" distB="0" distL="114300" distR="114300" simplePos="0" relativeHeight="251663360" behindDoc="1" locked="0" layoutInCell="1" allowOverlap="1" wp14:anchorId="020EB42D" wp14:editId="4E600AC6">
            <wp:simplePos x="0" y="0"/>
            <wp:positionH relativeFrom="column">
              <wp:posOffset>1555115</wp:posOffset>
            </wp:positionH>
            <wp:positionV relativeFrom="paragraph">
              <wp:posOffset>163195</wp:posOffset>
            </wp:positionV>
            <wp:extent cx="495300" cy="495300"/>
            <wp:effectExtent l="0" t="0" r="0" b="0"/>
            <wp:wrapTight wrapText="bothSides">
              <wp:wrapPolygon edited="0">
                <wp:start x="4985" y="3323"/>
                <wp:lineTo x="2492" y="7477"/>
                <wp:lineTo x="2492" y="9969"/>
                <wp:lineTo x="3323" y="16615"/>
                <wp:lineTo x="17446" y="16615"/>
                <wp:lineTo x="19108" y="13292"/>
                <wp:lineTo x="18277" y="7477"/>
                <wp:lineTo x="15785" y="3323"/>
                <wp:lineTo x="4985" y="3323"/>
              </wp:wrapPolygon>
            </wp:wrapTight>
            <wp:docPr id="793039319" name="Picture 1" descr="A black background with a black squa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92856060" descr="A black background with a black square&#10;&#10;Description automatically generated with medium confidence"/>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95300" cy="495300"/>
                    </a:xfrm>
                    <a:prstGeom prst="rect">
                      <a:avLst/>
                    </a:prstGeom>
                    <a:noFill/>
                  </pic:spPr>
                </pic:pic>
              </a:graphicData>
            </a:graphic>
            <wp14:sizeRelH relativeFrom="page">
              <wp14:pctWidth>0</wp14:pctWidth>
            </wp14:sizeRelH>
            <wp14:sizeRelV relativeFrom="page">
              <wp14:pctHeight>0</wp14:pctHeight>
            </wp14:sizeRelV>
          </wp:anchor>
        </w:drawing>
      </w:r>
      <w:r>
        <w:rPr>
          <w:rFonts w:ascii="Overpass" w:hAnsi="Overpass"/>
          <w:noProof/>
        </w:rPr>
        <w:br/>
      </w:r>
    </w:p>
    <w:p w14:paraId="40923A0E" w14:textId="77777777" w:rsidR="00E409EF" w:rsidRDefault="00E409EF" w:rsidP="00E409EF">
      <w:pPr>
        <w:spacing w:after="0" w:line="240" w:lineRule="auto"/>
        <w:rPr>
          <w:rFonts w:ascii="Overpass" w:hAnsi="Overpass"/>
          <w:noProof/>
        </w:rPr>
      </w:pPr>
      <w:r>
        <w:rPr>
          <w:rFonts w:ascii="Overpass" w:hAnsi="Overpass"/>
          <w:noProof/>
        </w:rPr>
        <w:t> </w:t>
      </w:r>
    </w:p>
    <w:p w14:paraId="7AC3500E" w14:textId="77777777" w:rsidR="00DB4622" w:rsidRDefault="00DB4622" w:rsidP="00CC68BD">
      <w:pPr>
        <w:shd w:val="clear" w:color="auto" w:fill="FFFFFF"/>
        <w:spacing w:after="0" w:line="240" w:lineRule="auto"/>
        <w:jc w:val="both"/>
        <w:rPr>
          <w:rFonts w:ascii="Overpass" w:eastAsia="Times New Roman" w:hAnsi="Overpass" w:cs="Calibri"/>
          <w:b/>
          <w:bCs/>
          <w:color w:val="212121"/>
          <w:lang w:eastAsia="it-IT"/>
        </w:rPr>
      </w:pPr>
    </w:p>
    <w:sectPr w:rsidR="00DB4622" w:rsidSect="00EB416C">
      <w:headerReference w:type="even" r:id="rId21"/>
      <w:headerReference w:type="default" r:id="rId22"/>
      <w:footerReference w:type="even" r:id="rId23"/>
      <w:footerReference w:type="default" r:id="rId24"/>
      <w:headerReference w:type="first" r:id="rId25"/>
      <w:footerReference w:type="first" r:id="rId26"/>
      <w:pgSz w:w="11906" w:h="16838"/>
      <w:pgMar w:top="1134" w:right="851" w:bottom="851" w:left="851" w:header="454" w:footer="90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A64DC4" w14:textId="77777777" w:rsidR="001333CD" w:rsidRDefault="001333CD" w:rsidP="00A23786">
      <w:pPr>
        <w:spacing w:after="0" w:line="240" w:lineRule="auto"/>
      </w:pPr>
      <w:r>
        <w:separator/>
      </w:r>
    </w:p>
  </w:endnote>
  <w:endnote w:type="continuationSeparator" w:id="0">
    <w:p w14:paraId="061C0624" w14:textId="77777777" w:rsidR="001333CD" w:rsidRDefault="001333CD" w:rsidP="00A23786">
      <w:pPr>
        <w:spacing w:after="0" w:line="240" w:lineRule="auto"/>
      </w:pPr>
      <w:r>
        <w:continuationSeparator/>
      </w:r>
    </w:p>
  </w:endnote>
  <w:endnote w:type="continuationNotice" w:id="1">
    <w:p w14:paraId="185174A3" w14:textId="77777777" w:rsidR="001333CD" w:rsidRDefault="001333C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Overpass">
    <w:panose1 w:val="020B0604020202020204"/>
    <w:charset w:val="4D"/>
    <w:family w:val="auto"/>
    <w:pitch w:val="variable"/>
    <w:sig w:usb0="00000003" w:usb1="00000020" w:usb2="00000000" w:usb3="00000000" w:csb0="00000197"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EE0EAC" w14:textId="77777777" w:rsidR="00BE3951" w:rsidRDefault="00BE39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400"/>
      <w:gridCol w:w="3400"/>
      <w:gridCol w:w="3400"/>
    </w:tblGrid>
    <w:tr w:rsidR="46A4EC3E" w14:paraId="720C518C" w14:textId="77777777" w:rsidTr="46A4EC3E">
      <w:trPr>
        <w:trHeight w:val="300"/>
      </w:trPr>
      <w:tc>
        <w:tcPr>
          <w:tcW w:w="3400" w:type="dxa"/>
        </w:tcPr>
        <w:p w14:paraId="121B5775" w14:textId="16EA10EE" w:rsidR="46A4EC3E" w:rsidRDefault="46A4EC3E" w:rsidP="46A4EC3E">
          <w:pPr>
            <w:pStyle w:val="Header"/>
            <w:ind w:left="-115"/>
          </w:pPr>
        </w:p>
      </w:tc>
      <w:tc>
        <w:tcPr>
          <w:tcW w:w="3400" w:type="dxa"/>
        </w:tcPr>
        <w:p w14:paraId="5E18F257" w14:textId="4C45CFE2" w:rsidR="46A4EC3E" w:rsidRDefault="46A4EC3E" w:rsidP="46A4EC3E">
          <w:pPr>
            <w:pStyle w:val="Header"/>
            <w:jc w:val="center"/>
          </w:pPr>
        </w:p>
      </w:tc>
      <w:tc>
        <w:tcPr>
          <w:tcW w:w="3400" w:type="dxa"/>
        </w:tcPr>
        <w:p w14:paraId="2DDF4BE0" w14:textId="2A035D13" w:rsidR="46A4EC3E" w:rsidRDefault="46A4EC3E" w:rsidP="46A4EC3E">
          <w:pPr>
            <w:pStyle w:val="Header"/>
            <w:ind w:right="-115"/>
            <w:jc w:val="right"/>
          </w:pPr>
        </w:p>
      </w:tc>
    </w:tr>
  </w:tbl>
  <w:p w14:paraId="25EA4EAF" w14:textId="72C5A71E" w:rsidR="46A4EC3E" w:rsidRDefault="46A4EC3E" w:rsidP="46A4EC3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400"/>
      <w:gridCol w:w="3400"/>
      <w:gridCol w:w="3400"/>
    </w:tblGrid>
    <w:tr w:rsidR="46A4EC3E" w14:paraId="0B2BF8D6" w14:textId="77777777" w:rsidTr="46A4EC3E">
      <w:trPr>
        <w:trHeight w:val="300"/>
      </w:trPr>
      <w:tc>
        <w:tcPr>
          <w:tcW w:w="3400" w:type="dxa"/>
        </w:tcPr>
        <w:p w14:paraId="47C115C0" w14:textId="6BDD644E" w:rsidR="46A4EC3E" w:rsidRDefault="46A4EC3E" w:rsidP="46A4EC3E">
          <w:pPr>
            <w:pStyle w:val="Header"/>
            <w:ind w:left="-115"/>
          </w:pPr>
        </w:p>
      </w:tc>
      <w:tc>
        <w:tcPr>
          <w:tcW w:w="3400" w:type="dxa"/>
        </w:tcPr>
        <w:p w14:paraId="6EDB7FD4" w14:textId="7AB01EE4" w:rsidR="46A4EC3E" w:rsidRDefault="46A4EC3E" w:rsidP="46A4EC3E">
          <w:pPr>
            <w:pStyle w:val="Header"/>
            <w:jc w:val="center"/>
          </w:pPr>
        </w:p>
      </w:tc>
      <w:tc>
        <w:tcPr>
          <w:tcW w:w="3400" w:type="dxa"/>
        </w:tcPr>
        <w:p w14:paraId="40D74E5D" w14:textId="0B1BE5C0" w:rsidR="46A4EC3E" w:rsidRDefault="46A4EC3E" w:rsidP="46A4EC3E">
          <w:pPr>
            <w:pStyle w:val="Header"/>
            <w:ind w:right="-115"/>
            <w:jc w:val="right"/>
          </w:pPr>
        </w:p>
      </w:tc>
    </w:tr>
  </w:tbl>
  <w:p w14:paraId="3C377BC2" w14:textId="75940A3D" w:rsidR="46A4EC3E" w:rsidRDefault="46A4EC3E" w:rsidP="46A4EC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3EEE8B" w14:textId="77777777" w:rsidR="001333CD" w:rsidRDefault="001333CD" w:rsidP="00A23786">
      <w:pPr>
        <w:spacing w:after="0" w:line="240" w:lineRule="auto"/>
      </w:pPr>
      <w:r>
        <w:separator/>
      </w:r>
    </w:p>
  </w:footnote>
  <w:footnote w:type="continuationSeparator" w:id="0">
    <w:p w14:paraId="39E8125F" w14:textId="77777777" w:rsidR="001333CD" w:rsidRDefault="001333CD" w:rsidP="00A23786">
      <w:pPr>
        <w:spacing w:after="0" w:line="240" w:lineRule="auto"/>
      </w:pPr>
      <w:r>
        <w:continuationSeparator/>
      </w:r>
    </w:p>
  </w:footnote>
  <w:footnote w:type="continuationNotice" w:id="1">
    <w:p w14:paraId="33BB2E1C" w14:textId="77777777" w:rsidR="001333CD" w:rsidRDefault="001333C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F962E" w14:textId="77777777" w:rsidR="00BE3951" w:rsidRDefault="00BE39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68B34F" w14:textId="77777777" w:rsidR="00A23786" w:rsidRDefault="00B348F5">
    <w:pPr>
      <w:pStyle w:val="Header"/>
    </w:pPr>
    <w:r>
      <w:rPr>
        <w:noProof/>
      </w:rPr>
      <mc:AlternateContent>
        <mc:Choice Requires="wps">
          <w:drawing>
            <wp:anchor distT="0" distB="0" distL="114300" distR="114300" simplePos="0" relativeHeight="251658241" behindDoc="0" locked="0" layoutInCell="1" allowOverlap="1" wp14:anchorId="255FB752" wp14:editId="21FAB893">
              <wp:simplePos x="0" y="0"/>
              <wp:positionH relativeFrom="page">
                <wp:posOffset>7407910</wp:posOffset>
              </wp:positionH>
              <wp:positionV relativeFrom="paragraph">
                <wp:posOffset>-287655</wp:posOffset>
              </wp:positionV>
              <wp:extent cx="152400" cy="10692000"/>
              <wp:effectExtent l="0" t="0" r="0" b="0"/>
              <wp:wrapNone/>
              <wp:docPr id="15" name="Rectangle 15"/>
              <wp:cNvGraphicFramePr/>
              <a:graphic xmlns:a="http://schemas.openxmlformats.org/drawingml/2006/main">
                <a:graphicData uri="http://schemas.microsoft.com/office/word/2010/wordprocessingShape">
                  <wps:wsp>
                    <wps:cNvSpPr/>
                    <wps:spPr>
                      <a:xfrm>
                        <a:off x="0" y="0"/>
                        <a:ext cx="152400" cy="10692000"/>
                      </a:xfrm>
                      <a:prstGeom prst="rect">
                        <a:avLst/>
                      </a:prstGeom>
                      <a:solidFill>
                        <a:srgbClr val="FFF2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a="http://schemas.openxmlformats.org/drawingml/2006/main" xmlns:arto="http://schemas.microsoft.com/office/word/2006/arto" xmlns:w16du="http://schemas.microsoft.com/office/word/2023/wordml/word16du">
          <w:pict>
            <v:rect id="Rectangle 15" style="position:absolute;margin-left:583.3pt;margin-top:-22.65pt;width:12pt;height:841.9pt;z-index:251658241;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middle" o:spid="_x0000_s1026" fillcolor="#fff200" stroked="f" strokeweight="1pt" w14:anchorId="2B3433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">
              <w10:wrap anchorx="page"/>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D3D47" w14:textId="4177FF0B" w:rsidR="00B348F5" w:rsidRDefault="000A26CD">
    <w:pPr>
      <w:pStyle w:val="Header"/>
    </w:pPr>
    <w:r>
      <w:rPr>
        <w:noProof/>
      </w:rPr>
      <mc:AlternateContent>
        <mc:Choice Requires="wps">
          <w:drawing>
            <wp:anchor distT="0" distB="0" distL="114300" distR="114300" simplePos="0" relativeHeight="251658243" behindDoc="0" locked="0" layoutInCell="1" allowOverlap="1" wp14:anchorId="533C96C8" wp14:editId="7FD99C84">
              <wp:simplePos x="0" y="0"/>
              <wp:positionH relativeFrom="column">
                <wp:posOffset>764540</wp:posOffset>
              </wp:positionH>
              <wp:positionV relativeFrom="paragraph">
                <wp:posOffset>164362</wp:posOffset>
              </wp:positionV>
              <wp:extent cx="2411730" cy="438150"/>
              <wp:effectExtent l="0" t="0" r="7620" b="0"/>
              <wp:wrapNone/>
              <wp:docPr id="12" name="Text Box 12"/>
              <wp:cNvGraphicFramePr/>
              <a:graphic xmlns:a="http://schemas.openxmlformats.org/drawingml/2006/main">
                <a:graphicData uri="http://schemas.microsoft.com/office/word/2010/wordprocessingShape">
                  <wps:wsp>
                    <wps:cNvSpPr txBox="1"/>
                    <wps:spPr>
                      <a:xfrm>
                        <a:off x="0" y="0"/>
                        <a:ext cx="2411730" cy="438150"/>
                      </a:xfrm>
                      <a:prstGeom prst="rect">
                        <a:avLst/>
                      </a:prstGeom>
                      <a:noFill/>
                      <a:ln w="6350">
                        <a:noFill/>
                      </a:ln>
                    </wps:spPr>
                    <wps:txbx>
                      <w:txbxContent>
                        <w:p w14:paraId="59F40614" w14:textId="2EDB2E9B" w:rsidR="00820D76" w:rsidRPr="00AE0784" w:rsidRDefault="00C50D15">
                          <w:pPr>
                            <w:rPr>
                              <w:rFonts w:ascii="Overpass" w:hAnsi="Overpass" w:cs="Arial"/>
                              <w:spacing w:val="20"/>
                              <w:sz w:val="32"/>
                              <w:szCs w:val="32"/>
                            </w:rPr>
                          </w:pPr>
                          <w:r w:rsidRPr="00AE0784">
                            <w:rPr>
                              <w:rFonts w:ascii="Overpass" w:hAnsi="Overpass" w:cs="Arial"/>
                              <w:spacing w:val="20"/>
                              <w:sz w:val="32"/>
                              <w:szCs w:val="32"/>
                            </w:rPr>
                            <w:t>MEDIA INFORMATION</w:t>
                          </w:r>
                          <w:r w:rsidR="00953D2D" w:rsidRPr="00AE0784">
                            <w:rPr>
                              <w:rFonts w:ascii="Overpass" w:hAnsi="Overpass" w:cs="Arial"/>
                              <w:spacing w:val="20"/>
                              <w:sz w:val="32"/>
                              <w:szCs w:val="32"/>
                            </w:rPr>
                            <w:t xml:space="preserve"> </w:t>
                          </w:r>
                        </w:p>
                      </w:txbxContent>
                    </wps:txbx>
                    <wps:bodyPr rot="0" spcFirstLastPara="0" vertOverflow="overflow" horzOverflow="overflow" vert="horz" wrap="square" lIns="0" tIns="10800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33C96C8" id="_x0000_t202" coordsize="21600,21600" o:spt="202" path="m,l,21600r21600,l21600,xe">
              <v:stroke joinstyle="miter"/>
              <v:path gradientshapeok="t" o:connecttype="rect"/>
            </v:shapetype>
            <v:shape id="Text Box 12" o:spid="_x0000_s1026" type="#_x0000_t202" style="position:absolute;margin-left:60.2pt;margin-top:12.95pt;width:189.9pt;height:34.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" filled="f" stroked="f" strokeweight=".5pt">
              <v:textbox inset="0,3mm,0,0">
                <w:txbxContent>
                  <w:p w14:paraId="59F40614" w14:textId="2EDB2E9B" w:rsidR="00820D76" w:rsidRPr="00AE0784" w:rsidRDefault="00C50D15">
                    <w:pPr>
                      <w:rPr>
                        <w:rFonts w:ascii="Overpass" w:hAnsi="Overpass" w:cs="Arial"/>
                        <w:spacing w:val="20"/>
                        <w:sz w:val="32"/>
                        <w:szCs w:val="32"/>
                      </w:rPr>
                    </w:pPr>
                    <w:r w:rsidRPr="00AE0784">
                      <w:rPr>
                        <w:rFonts w:ascii="Overpass" w:hAnsi="Overpass" w:cs="Arial"/>
                        <w:spacing w:val="20"/>
                        <w:sz w:val="32"/>
                        <w:szCs w:val="32"/>
                      </w:rPr>
                      <w:t>MEDIA INFORMATION</w:t>
                    </w:r>
                    <w:r w:rsidR="00953D2D" w:rsidRPr="00AE0784">
                      <w:rPr>
                        <w:rFonts w:ascii="Overpass" w:hAnsi="Overpass" w:cs="Arial"/>
                        <w:spacing w:val="20"/>
                        <w:sz w:val="32"/>
                        <w:szCs w:val="32"/>
                      </w:rPr>
                      <w:t xml:space="preserve"> </w:t>
                    </w:r>
                  </w:p>
                </w:txbxContent>
              </v:textbox>
            </v:shape>
          </w:pict>
        </mc:Fallback>
      </mc:AlternateContent>
    </w:r>
    <w:r>
      <w:rPr>
        <w:noProof/>
      </w:rPr>
      <w:drawing>
        <wp:anchor distT="0" distB="0" distL="114300" distR="114300" simplePos="0" relativeHeight="251658242" behindDoc="0" locked="0" layoutInCell="1" allowOverlap="1" wp14:anchorId="587E8CC6" wp14:editId="098FFE55">
          <wp:simplePos x="0" y="0"/>
          <wp:positionH relativeFrom="page">
            <wp:posOffset>-7088</wp:posOffset>
          </wp:positionH>
          <wp:positionV relativeFrom="page">
            <wp:posOffset>-48438</wp:posOffset>
          </wp:positionV>
          <wp:extent cx="1478280" cy="1176670"/>
          <wp:effectExtent l="0" t="0" r="0" b="0"/>
          <wp:wrapNone/>
          <wp:docPr id="1062853201" name="Picture 1062853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rotWithShape="1">
                  <a:blip r:embed="rId1">
                    <a:extLst>
                      <a:ext uri="{28A0092B-C50C-407E-A947-70E740481C1C}">
                        <a14:useLocalDpi xmlns:a14="http://schemas.microsoft.com/office/drawing/2010/main" val="0"/>
                      </a:ext>
                    </a:extLst>
                  </a:blip>
                  <a:srcRect b="20471"/>
                  <a:stretch/>
                </pic:blipFill>
                <pic:spPr bwMode="auto">
                  <a:xfrm>
                    <a:off x="0" y="0"/>
                    <a:ext cx="1478280" cy="11766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58240" behindDoc="0" locked="0" layoutInCell="1" allowOverlap="1" wp14:anchorId="17EF68FF" wp14:editId="5F0DC064">
              <wp:simplePos x="0" y="0"/>
              <wp:positionH relativeFrom="column">
                <wp:posOffset>-168275</wp:posOffset>
              </wp:positionH>
              <wp:positionV relativeFrom="paragraph">
                <wp:posOffset>69112</wp:posOffset>
              </wp:positionV>
              <wp:extent cx="679450" cy="679450"/>
              <wp:effectExtent l="0" t="0" r="6350" b="6350"/>
              <wp:wrapNone/>
              <wp:docPr id="19" name="Oval 19"/>
              <wp:cNvGraphicFramePr/>
              <a:graphic xmlns:a="http://schemas.openxmlformats.org/drawingml/2006/main">
                <a:graphicData uri="http://schemas.microsoft.com/office/word/2010/wordprocessingShape">
                  <wps:wsp>
                    <wps:cNvSpPr/>
                    <wps:spPr>
                      <a:xfrm>
                        <a:off x="0" y="0"/>
                        <a:ext cx="679450" cy="679450"/>
                      </a:xfrm>
                      <a:prstGeom prst="ellips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http://schemas.openxmlformats.org/drawingml/2006/main" xmlns:pic="http://schemas.openxmlformats.org/drawingml/2006/picture" xmlns:a14="http://schemas.microsoft.com/office/drawing/2010/main" xmlns:arto="http://schemas.microsoft.com/office/word/2006/arto" xmlns:w16du="http://schemas.microsoft.com/office/word/2023/wordml/word16du">
          <w:pict>
            <v:oval id="Oval 19" style="position:absolute;margin-left:-13.25pt;margin-top:5.45pt;width:53.5pt;height:53.5pt;z-index:251658240;visibility:visible;mso-wrap-style:square;mso-wrap-distance-left:9pt;mso-wrap-distance-top:0;mso-wrap-distance-right:9pt;mso-wrap-distance-bottom:0;mso-position-horizontal:absolute;mso-position-horizontal-relative:text;mso-position-vertical:absolute;mso-position-vertical-relative:text;v-text-anchor:middle" o:spid="_x0000_s1026" fillcolor="black [3213]" stroked="f" strokeweight="1pt" w14:anchorId="018DE6A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">
              <v:stroke joinstyle="miter"/>
            </v:oval>
          </w:pict>
        </mc:Fallback>
      </mc:AlternateContent>
    </w:r>
    <w:r w:rsidR="003069BD">
      <w:rPr>
        <w:noProof/>
      </w:rPr>
      <mc:AlternateContent>
        <mc:Choice Requires="wps">
          <w:drawing>
            <wp:anchor distT="0" distB="0" distL="114300" distR="114300" simplePos="0" relativeHeight="251658244" behindDoc="0" locked="0" layoutInCell="1" allowOverlap="1" wp14:anchorId="16922255" wp14:editId="700D070A">
              <wp:simplePos x="0" y="0"/>
              <wp:positionH relativeFrom="page">
                <wp:posOffset>7453630</wp:posOffset>
              </wp:positionH>
              <wp:positionV relativeFrom="paragraph">
                <wp:posOffset>-323850</wp:posOffset>
              </wp:positionV>
              <wp:extent cx="108000" cy="10728000"/>
              <wp:effectExtent l="0" t="0" r="6350" b="0"/>
              <wp:wrapNone/>
              <wp:docPr id="2" name="Rectangle 2"/>
              <wp:cNvGraphicFramePr/>
              <a:graphic xmlns:a="http://schemas.openxmlformats.org/drawingml/2006/main">
                <a:graphicData uri="http://schemas.microsoft.com/office/word/2010/wordprocessingShape">
                  <wps:wsp>
                    <wps:cNvSpPr/>
                    <wps:spPr>
                      <a:xfrm>
                        <a:off x="0" y="0"/>
                        <a:ext cx="108000" cy="10728000"/>
                      </a:xfrm>
                      <a:prstGeom prst="rect">
                        <a:avLst/>
                      </a:prstGeom>
                      <a:solidFill>
                        <a:srgbClr val="FFF2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arto="http://schemas.microsoft.com/office/word/2006/arto" xmlns:w16du="http://schemas.microsoft.com/office/word/2023/wordml/word16du">
          <w:pict>
            <v:rect id="Rectangle 2" style="position:absolute;margin-left:586.9pt;margin-top:-25.5pt;width:8.5pt;height:844.7pt;z-index:251658245;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spid="_x0000_s1026" fillcolor="#fff200" stroked="f" strokeweight="1pt" w14:anchorId="0C8625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">
              <w10:wrap anchorx="page"/>
            </v:rect>
          </w:pict>
        </mc:Fallback>
      </mc:AlternateContent>
    </w:r>
  </w:p>
  <w:p w14:paraId="22949699" w14:textId="0A86A85B" w:rsidR="00B348F5" w:rsidRDefault="00B348F5">
    <w:pPr>
      <w:pStyle w:val="Header"/>
    </w:pPr>
  </w:p>
  <w:p w14:paraId="39624233" w14:textId="6C39C72C" w:rsidR="00B348F5" w:rsidRDefault="00B348F5">
    <w:pPr>
      <w:pStyle w:val="Header"/>
    </w:pPr>
  </w:p>
  <w:p w14:paraId="09927779" w14:textId="036105F6" w:rsidR="00B348F5" w:rsidRDefault="00B348F5">
    <w:pPr>
      <w:pStyle w:val="Header"/>
    </w:pPr>
  </w:p>
  <w:p w14:paraId="52FE015F" w14:textId="3EC41AF9" w:rsidR="00B348F5" w:rsidRDefault="00B348F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52F09"/>
    <w:multiLevelType w:val="hybridMultilevel"/>
    <w:tmpl w:val="8A1A7FCE"/>
    <w:lvl w:ilvl="0" w:tplc="A4AAC092">
      <w:start w:val="1"/>
      <w:numFmt w:val="bullet"/>
      <w:lvlText w:val=""/>
      <w:lvlJc w:val="left"/>
      <w:pPr>
        <w:ind w:left="720"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FE110E3"/>
    <w:multiLevelType w:val="hybridMultilevel"/>
    <w:tmpl w:val="F7A889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44041B5"/>
    <w:multiLevelType w:val="hybridMultilevel"/>
    <w:tmpl w:val="E3C800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524539E"/>
    <w:multiLevelType w:val="hybridMultilevel"/>
    <w:tmpl w:val="3F3C71C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15:restartNumberingAfterBreak="0">
    <w:nsid w:val="3BDA48F7"/>
    <w:multiLevelType w:val="hybridMultilevel"/>
    <w:tmpl w:val="01C67C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8F62028"/>
    <w:multiLevelType w:val="hybridMultilevel"/>
    <w:tmpl w:val="BB9E43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83E3CF0"/>
    <w:multiLevelType w:val="hybridMultilevel"/>
    <w:tmpl w:val="C12C4F10"/>
    <w:lvl w:ilvl="0" w:tplc="783AD532">
      <w:start w:val="1"/>
      <w:numFmt w:val="bullet"/>
      <w:lvlText w:val=""/>
      <w:lvlJc w:val="left"/>
      <w:pPr>
        <w:ind w:left="720" w:hanging="360"/>
      </w:pPr>
      <w:rPr>
        <w:rFonts w:ascii="Symbol" w:hAnsi="Symbol" w:hint="default"/>
      </w:rPr>
    </w:lvl>
    <w:lvl w:ilvl="1" w:tplc="7458ECFE">
      <w:start w:val="1"/>
      <w:numFmt w:val="bullet"/>
      <w:lvlText w:val="o"/>
      <w:lvlJc w:val="left"/>
      <w:pPr>
        <w:ind w:left="1440" w:hanging="360"/>
      </w:pPr>
      <w:rPr>
        <w:rFonts w:ascii="Courier New" w:hAnsi="Courier New" w:hint="default"/>
      </w:rPr>
    </w:lvl>
    <w:lvl w:ilvl="2" w:tplc="6DBC533C">
      <w:start w:val="1"/>
      <w:numFmt w:val="bullet"/>
      <w:lvlText w:val=""/>
      <w:lvlJc w:val="left"/>
      <w:pPr>
        <w:ind w:left="2160" w:hanging="360"/>
      </w:pPr>
      <w:rPr>
        <w:rFonts w:ascii="Wingdings" w:hAnsi="Wingdings" w:hint="default"/>
      </w:rPr>
    </w:lvl>
    <w:lvl w:ilvl="3" w:tplc="B1E8BD88">
      <w:start w:val="1"/>
      <w:numFmt w:val="bullet"/>
      <w:lvlText w:val=""/>
      <w:lvlJc w:val="left"/>
      <w:pPr>
        <w:ind w:left="2880" w:hanging="360"/>
      </w:pPr>
      <w:rPr>
        <w:rFonts w:ascii="Symbol" w:hAnsi="Symbol" w:hint="default"/>
      </w:rPr>
    </w:lvl>
    <w:lvl w:ilvl="4" w:tplc="AD74B8F4">
      <w:start w:val="1"/>
      <w:numFmt w:val="bullet"/>
      <w:lvlText w:val="o"/>
      <w:lvlJc w:val="left"/>
      <w:pPr>
        <w:ind w:left="3600" w:hanging="360"/>
      </w:pPr>
      <w:rPr>
        <w:rFonts w:ascii="Courier New" w:hAnsi="Courier New" w:hint="default"/>
      </w:rPr>
    </w:lvl>
    <w:lvl w:ilvl="5" w:tplc="1B04D0E4">
      <w:start w:val="1"/>
      <w:numFmt w:val="bullet"/>
      <w:lvlText w:val=""/>
      <w:lvlJc w:val="left"/>
      <w:pPr>
        <w:ind w:left="4320" w:hanging="360"/>
      </w:pPr>
      <w:rPr>
        <w:rFonts w:ascii="Wingdings" w:hAnsi="Wingdings" w:hint="default"/>
      </w:rPr>
    </w:lvl>
    <w:lvl w:ilvl="6" w:tplc="6002B18E">
      <w:start w:val="1"/>
      <w:numFmt w:val="bullet"/>
      <w:lvlText w:val=""/>
      <w:lvlJc w:val="left"/>
      <w:pPr>
        <w:ind w:left="5040" w:hanging="360"/>
      </w:pPr>
      <w:rPr>
        <w:rFonts w:ascii="Symbol" w:hAnsi="Symbol" w:hint="default"/>
      </w:rPr>
    </w:lvl>
    <w:lvl w:ilvl="7" w:tplc="0568D196">
      <w:start w:val="1"/>
      <w:numFmt w:val="bullet"/>
      <w:lvlText w:val="o"/>
      <w:lvlJc w:val="left"/>
      <w:pPr>
        <w:ind w:left="5760" w:hanging="360"/>
      </w:pPr>
      <w:rPr>
        <w:rFonts w:ascii="Courier New" w:hAnsi="Courier New" w:hint="default"/>
      </w:rPr>
    </w:lvl>
    <w:lvl w:ilvl="8" w:tplc="21A66616">
      <w:start w:val="1"/>
      <w:numFmt w:val="bullet"/>
      <w:lvlText w:val=""/>
      <w:lvlJc w:val="left"/>
      <w:pPr>
        <w:ind w:left="6480" w:hanging="360"/>
      </w:pPr>
      <w:rPr>
        <w:rFonts w:ascii="Wingdings" w:hAnsi="Wingdings" w:hint="default"/>
      </w:rPr>
    </w:lvl>
  </w:abstractNum>
  <w:abstractNum w:abstractNumId="7" w15:restartNumberingAfterBreak="0">
    <w:nsid w:val="787F7B03"/>
    <w:multiLevelType w:val="hybridMultilevel"/>
    <w:tmpl w:val="03FAD5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574319588">
    <w:abstractNumId w:val="6"/>
  </w:num>
  <w:num w:numId="2" w16cid:durableId="2092500804">
    <w:abstractNumId w:val="0"/>
  </w:num>
  <w:num w:numId="3" w16cid:durableId="1888029261">
    <w:abstractNumId w:val="5"/>
  </w:num>
  <w:num w:numId="4" w16cid:durableId="1066875538">
    <w:abstractNumId w:val="3"/>
  </w:num>
  <w:num w:numId="5" w16cid:durableId="1380471460">
    <w:abstractNumId w:val="1"/>
  </w:num>
  <w:num w:numId="6" w16cid:durableId="110637006">
    <w:abstractNumId w:val="2"/>
  </w:num>
  <w:num w:numId="7" w16cid:durableId="1422411044">
    <w:abstractNumId w:val="4"/>
  </w:num>
  <w:num w:numId="8" w16cid:durableId="76272665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3"/>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0C8"/>
    <w:rsid w:val="000038FA"/>
    <w:rsid w:val="00006E98"/>
    <w:rsid w:val="00007475"/>
    <w:rsid w:val="00007708"/>
    <w:rsid w:val="00011144"/>
    <w:rsid w:val="0001157B"/>
    <w:rsid w:val="00014AEC"/>
    <w:rsid w:val="00015477"/>
    <w:rsid w:val="00027F67"/>
    <w:rsid w:val="00030CCC"/>
    <w:rsid w:val="000335CC"/>
    <w:rsid w:val="000377D9"/>
    <w:rsid w:val="0004280E"/>
    <w:rsid w:val="0005048A"/>
    <w:rsid w:val="00055D54"/>
    <w:rsid w:val="00055DA5"/>
    <w:rsid w:val="00056C2C"/>
    <w:rsid w:val="00057094"/>
    <w:rsid w:val="00057BF4"/>
    <w:rsid w:val="000641E8"/>
    <w:rsid w:val="0006771A"/>
    <w:rsid w:val="00070666"/>
    <w:rsid w:val="000709E2"/>
    <w:rsid w:val="00092C5F"/>
    <w:rsid w:val="000967AD"/>
    <w:rsid w:val="000A26CD"/>
    <w:rsid w:val="000A2B01"/>
    <w:rsid w:val="000A5059"/>
    <w:rsid w:val="000B4228"/>
    <w:rsid w:val="000B6E97"/>
    <w:rsid w:val="000C0478"/>
    <w:rsid w:val="000C2780"/>
    <w:rsid w:val="000E0785"/>
    <w:rsid w:val="000E40F5"/>
    <w:rsid w:val="000F1F43"/>
    <w:rsid w:val="0010281E"/>
    <w:rsid w:val="00110EFA"/>
    <w:rsid w:val="00115203"/>
    <w:rsid w:val="00115261"/>
    <w:rsid w:val="00117211"/>
    <w:rsid w:val="001174D4"/>
    <w:rsid w:val="0012134A"/>
    <w:rsid w:val="00125605"/>
    <w:rsid w:val="00127C38"/>
    <w:rsid w:val="001316AF"/>
    <w:rsid w:val="001333CD"/>
    <w:rsid w:val="001347AD"/>
    <w:rsid w:val="001377BA"/>
    <w:rsid w:val="00137967"/>
    <w:rsid w:val="001439CE"/>
    <w:rsid w:val="00145D3A"/>
    <w:rsid w:val="0014650D"/>
    <w:rsid w:val="00146774"/>
    <w:rsid w:val="00150206"/>
    <w:rsid w:val="001529EF"/>
    <w:rsid w:val="00153018"/>
    <w:rsid w:val="00157438"/>
    <w:rsid w:val="0016208E"/>
    <w:rsid w:val="00165041"/>
    <w:rsid w:val="0016504A"/>
    <w:rsid w:val="00166F12"/>
    <w:rsid w:val="00170395"/>
    <w:rsid w:val="0017083F"/>
    <w:rsid w:val="001719B6"/>
    <w:rsid w:val="00172316"/>
    <w:rsid w:val="001773E4"/>
    <w:rsid w:val="00180492"/>
    <w:rsid w:val="00180B74"/>
    <w:rsid w:val="00183751"/>
    <w:rsid w:val="00183ECD"/>
    <w:rsid w:val="00194263"/>
    <w:rsid w:val="001942C4"/>
    <w:rsid w:val="0019573C"/>
    <w:rsid w:val="001958FA"/>
    <w:rsid w:val="001A4510"/>
    <w:rsid w:val="001C0E49"/>
    <w:rsid w:val="001C391B"/>
    <w:rsid w:val="001C3C2B"/>
    <w:rsid w:val="001C6B37"/>
    <w:rsid w:val="001C7259"/>
    <w:rsid w:val="001D0339"/>
    <w:rsid w:val="001D5726"/>
    <w:rsid w:val="001D5C2E"/>
    <w:rsid w:val="001D6397"/>
    <w:rsid w:val="001E0D7D"/>
    <w:rsid w:val="001E7499"/>
    <w:rsid w:val="001F0971"/>
    <w:rsid w:val="001F3737"/>
    <w:rsid w:val="002010F7"/>
    <w:rsid w:val="00204E53"/>
    <w:rsid w:val="00211239"/>
    <w:rsid w:val="0021240A"/>
    <w:rsid w:val="00223622"/>
    <w:rsid w:val="00233D30"/>
    <w:rsid w:val="0023425F"/>
    <w:rsid w:val="0023587F"/>
    <w:rsid w:val="002370BB"/>
    <w:rsid w:val="00242AC6"/>
    <w:rsid w:val="00243FC4"/>
    <w:rsid w:val="00246FB9"/>
    <w:rsid w:val="00250DD2"/>
    <w:rsid w:val="00263904"/>
    <w:rsid w:val="002679E4"/>
    <w:rsid w:val="0027086D"/>
    <w:rsid w:val="00275639"/>
    <w:rsid w:val="00276793"/>
    <w:rsid w:val="00276A48"/>
    <w:rsid w:val="002778C8"/>
    <w:rsid w:val="00281879"/>
    <w:rsid w:val="00281FF2"/>
    <w:rsid w:val="00286651"/>
    <w:rsid w:val="00292C27"/>
    <w:rsid w:val="00297B7F"/>
    <w:rsid w:val="002A22B9"/>
    <w:rsid w:val="002A34D2"/>
    <w:rsid w:val="002A3D8C"/>
    <w:rsid w:val="002A4399"/>
    <w:rsid w:val="002C087E"/>
    <w:rsid w:val="002C17FE"/>
    <w:rsid w:val="002C7E6A"/>
    <w:rsid w:val="002D1F2F"/>
    <w:rsid w:val="002D618C"/>
    <w:rsid w:val="002D747C"/>
    <w:rsid w:val="002E0F8D"/>
    <w:rsid w:val="002F081F"/>
    <w:rsid w:val="002F0CD0"/>
    <w:rsid w:val="002F547B"/>
    <w:rsid w:val="002F6499"/>
    <w:rsid w:val="00302349"/>
    <w:rsid w:val="003034DA"/>
    <w:rsid w:val="0030446D"/>
    <w:rsid w:val="003069BD"/>
    <w:rsid w:val="003144FB"/>
    <w:rsid w:val="0032780E"/>
    <w:rsid w:val="0033307E"/>
    <w:rsid w:val="00337372"/>
    <w:rsid w:val="00351CD2"/>
    <w:rsid w:val="003540BA"/>
    <w:rsid w:val="003622CC"/>
    <w:rsid w:val="00364FDA"/>
    <w:rsid w:val="003722D3"/>
    <w:rsid w:val="00372538"/>
    <w:rsid w:val="00373FF1"/>
    <w:rsid w:val="003755F2"/>
    <w:rsid w:val="0037678A"/>
    <w:rsid w:val="003768DD"/>
    <w:rsid w:val="00380806"/>
    <w:rsid w:val="00380B62"/>
    <w:rsid w:val="00382E98"/>
    <w:rsid w:val="003862B0"/>
    <w:rsid w:val="00386842"/>
    <w:rsid w:val="00391696"/>
    <w:rsid w:val="00392AEF"/>
    <w:rsid w:val="00392D3E"/>
    <w:rsid w:val="00393AE7"/>
    <w:rsid w:val="003953AA"/>
    <w:rsid w:val="003A2DEC"/>
    <w:rsid w:val="003A613E"/>
    <w:rsid w:val="003B6A98"/>
    <w:rsid w:val="003B7B41"/>
    <w:rsid w:val="003C10FA"/>
    <w:rsid w:val="003C4EF6"/>
    <w:rsid w:val="003C4F44"/>
    <w:rsid w:val="003C5375"/>
    <w:rsid w:val="003C561A"/>
    <w:rsid w:val="003C72EC"/>
    <w:rsid w:val="003C7733"/>
    <w:rsid w:val="003D312D"/>
    <w:rsid w:val="003E0043"/>
    <w:rsid w:val="003E2872"/>
    <w:rsid w:val="003E3105"/>
    <w:rsid w:val="003E4930"/>
    <w:rsid w:val="003E6175"/>
    <w:rsid w:val="003E6B04"/>
    <w:rsid w:val="003F0A3A"/>
    <w:rsid w:val="0040207A"/>
    <w:rsid w:val="00404568"/>
    <w:rsid w:val="00404677"/>
    <w:rsid w:val="004059DB"/>
    <w:rsid w:val="004063E0"/>
    <w:rsid w:val="00407122"/>
    <w:rsid w:val="0040740D"/>
    <w:rsid w:val="004109A2"/>
    <w:rsid w:val="00411EC9"/>
    <w:rsid w:val="00430171"/>
    <w:rsid w:val="0043387B"/>
    <w:rsid w:val="00435136"/>
    <w:rsid w:val="00435EA2"/>
    <w:rsid w:val="00440153"/>
    <w:rsid w:val="0044124C"/>
    <w:rsid w:val="0044184F"/>
    <w:rsid w:val="00452424"/>
    <w:rsid w:val="00454BD6"/>
    <w:rsid w:val="0046394D"/>
    <w:rsid w:val="0046785F"/>
    <w:rsid w:val="00470837"/>
    <w:rsid w:val="00472494"/>
    <w:rsid w:val="00474EE4"/>
    <w:rsid w:val="00476671"/>
    <w:rsid w:val="00481507"/>
    <w:rsid w:val="00483A77"/>
    <w:rsid w:val="004868D9"/>
    <w:rsid w:val="00487909"/>
    <w:rsid w:val="004918C8"/>
    <w:rsid w:val="00492444"/>
    <w:rsid w:val="00495E0B"/>
    <w:rsid w:val="004A11EF"/>
    <w:rsid w:val="004A2C27"/>
    <w:rsid w:val="004A3C35"/>
    <w:rsid w:val="004B17F8"/>
    <w:rsid w:val="004C1A34"/>
    <w:rsid w:val="004C603F"/>
    <w:rsid w:val="004D07DF"/>
    <w:rsid w:val="004E1952"/>
    <w:rsid w:val="004E3705"/>
    <w:rsid w:val="004E3DA4"/>
    <w:rsid w:val="004E7000"/>
    <w:rsid w:val="004F0A23"/>
    <w:rsid w:val="004F5147"/>
    <w:rsid w:val="005005A2"/>
    <w:rsid w:val="005038A1"/>
    <w:rsid w:val="00505E9A"/>
    <w:rsid w:val="00507B54"/>
    <w:rsid w:val="00516DB5"/>
    <w:rsid w:val="00521246"/>
    <w:rsid w:val="00521BAB"/>
    <w:rsid w:val="00522E2B"/>
    <w:rsid w:val="00525334"/>
    <w:rsid w:val="005308DC"/>
    <w:rsid w:val="0053294F"/>
    <w:rsid w:val="0054111E"/>
    <w:rsid w:val="00542B25"/>
    <w:rsid w:val="00542D39"/>
    <w:rsid w:val="005444FA"/>
    <w:rsid w:val="0055237C"/>
    <w:rsid w:val="00553547"/>
    <w:rsid w:val="00553B71"/>
    <w:rsid w:val="00553C5D"/>
    <w:rsid w:val="00556230"/>
    <w:rsid w:val="0056F88D"/>
    <w:rsid w:val="00570C74"/>
    <w:rsid w:val="00571641"/>
    <w:rsid w:val="00574D1A"/>
    <w:rsid w:val="00576D49"/>
    <w:rsid w:val="00577586"/>
    <w:rsid w:val="00577D38"/>
    <w:rsid w:val="00581E12"/>
    <w:rsid w:val="0059248C"/>
    <w:rsid w:val="00597DFC"/>
    <w:rsid w:val="005A0BC6"/>
    <w:rsid w:val="005A3F89"/>
    <w:rsid w:val="005A43B7"/>
    <w:rsid w:val="005A49D6"/>
    <w:rsid w:val="005A73A7"/>
    <w:rsid w:val="005B76D0"/>
    <w:rsid w:val="005C45B9"/>
    <w:rsid w:val="005C5683"/>
    <w:rsid w:val="005C5B22"/>
    <w:rsid w:val="005D0AEF"/>
    <w:rsid w:val="005D35C8"/>
    <w:rsid w:val="005D3A38"/>
    <w:rsid w:val="005D4A61"/>
    <w:rsid w:val="005E1CAE"/>
    <w:rsid w:val="005E2ABB"/>
    <w:rsid w:val="005E4BB9"/>
    <w:rsid w:val="005F0E29"/>
    <w:rsid w:val="005F10F6"/>
    <w:rsid w:val="005F4ED0"/>
    <w:rsid w:val="005F5524"/>
    <w:rsid w:val="005F5605"/>
    <w:rsid w:val="00610312"/>
    <w:rsid w:val="00611A47"/>
    <w:rsid w:val="006122A3"/>
    <w:rsid w:val="00613B0F"/>
    <w:rsid w:val="00615C56"/>
    <w:rsid w:val="006201B6"/>
    <w:rsid w:val="0062430D"/>
    <w:rsid w:val="006323B8"/>
    <w:rsid w:val="00636C3B"/>
    <w:rsid w:val="006458A6"/>
    <w:rsid w:val="006458C8"/>
    <w:rsid w:val="006509C0"/>
    <w:rsid w:val="00650F36"/>
    <w:rsid w:val="00654D46"/>
    <w:rsid w:val="00665C10"/>
    <w:rsid w:val="006672A5"/>
    <w:rsid w:val="00672901"/>
    <w:rsid w:val="00673965"/>
    <w:rsid w:val="0067461B"/>
    <w:rsid w:val="006802F7"/>
    <w:rsid w:val="00685F15"/>
    <w:rsid w:val="006963BB"/>
    <w:rsid w:val="00696EBF"/>
    <w:rsid w:val="006A0F8C"/>
    <w:rsid w:val="006A191D"/>
    <w:rsid w:val="006A4E22"/>
    <w:rsid w:val="006A5D7E"/>
    <w:rsid w:val="006B2303"/>
    <w:rsid w:val="006C69EC"/>
    <w:rsid w:val="006D0462"/>
    <w:rsid w:val="006D1534"/>
    <w:rsid w:val="006D5760"/>
    <w:rsid w:val="006D6403"/>
    <w:rsid w:val="006D6E60"/>
    <w:rsid w:val="006E0488"/>
    <w:rsid w:val="006F2E8E"/>
    <w:rsid w:val="0071628F"/>
    <w:rsid w:val="00724795"/>
    <w:rsid w:val="00727867"/>
    <w:rsid w:val="00732DD1"/>
    <w:rsid w:val="007404C1"/>
    <w:rsid w:val="00742F22"/>
    <w:rsid w:val="00745293"/>
    <w:rsid w:val="00745967"/>
    <w:rsid w:val="00747BF5"/>
    <w:rsid w:val="00750898"/>
    <w:rsid w:val="0077128A"/>
    <w:rsid w:val="00772D7A"/>
    <w:rsid w:val="007774B0"/>
    <w:rsid w:val="007854F9"/>
    <w:rsid w:val="0079054F"/>
    <w:rsid w:val="00790DD3"/>
    <w:rsid w:val="007949CF"/>
    <w:rsid w:val="007964D6"/>
    <w:rsid w:val="007B5366"/>
    <w:rsid w:val="007D3145"/>
    <w:rsid w:val="007E5699"/>
    <w:rsid w:val="007F1EED"/>
    <w:rsid w:val="007F27BD"/>
    <w:rsid w:val="007F6DFA"/>
    <w:rsid w:val="007F7A12"/>
    <w:rsid w:val="008110E2"/>
    <w:rsid w:val="00817687"/>
    <w:rsid w:val="00820D76"/>
    <w:rsid w:val="00824A1C"/>
    <w:rsid w:val="00825C78"/>
    <w:rsid w:val="00826200"/>
    <w:rsid w:val="0082747F"/>
    <w:rsid w:val="00830035"/>
    <w:rsid w:val="0083139D"/>
    <w:rsid w:val="00840A57"/>
    <w:rsid w:val="008543B5"/>
    <w:rsid w:val="008546AC"/>
    <w:rsid w:val="00857ECC"/>
    <w:rsid w:val="00865052"/>
    <w:rsid w:val="008677CD"/>
    <w:rsid w:val="008710B4"/>
    <w:rsid w:val="008751BA"/>
    <w:rsid w:val="0087695C"/>
    <w:rsid w:val="00877EDF"/>
    <w:rsid w:val="008802E7"/>
    <w:rsid w:val="0088112F"/>
    <w:rsid w:val="008834DD"/>
    <w:rsid w:val="008874B4"/>
    <w:rsid w:val="00890C4D"/>
    <w:rsid w:val="00895E2D"/>
    <w:rsid w:val="008964A9"/>
    <w:rsid w:val="008C1F26"/>
    <w:rsid w:val="008C63DD"/>
    <w:rsid w:val="008D0112"/>
    <w:rsid w:val="008D6146"/>
    <w:rsid w:val="008E0CCA"/>
    <w:rsid w:val="008F0192"/>
    <w:rsid w:val="0090611B"/>
    <w:rsid w:val="009203F7"/>
    <w:rsid w:val="00923167"/>
    <w:rsid w:val="009267A9"/>
    <w:rsid w:val="0093048E"/>
    <w:rsid w:val="00937DFF"/>
    <w:rsid w:val="00937FE1"/>
    <w:rsid w:val="0095256D"/>
    <w:rsid w:val="00953D2D"/>
    <w:rsid w:val="009573C6"/>
    <w:rsid w:val="0096172E"/>
    <w:rsid w:val="00974BCA"/>
    <w:rsid w:val="009755E2"/>
    <w:rsid w:val="00977877"/>
    <w:rsid w:val="009800D5"/>
    <w:rsid w:val="00980E42"/>
    <w:rsid w:val="0098301A"/>
    <w:rsid w:val="009842F9"/>
    <w:rsid w:val="009868A8"/>
    <w:rsid w:val="009929E2"/>
    <w:rsid w:val="00994BED"/>
    <w:rsid w:val="009A50CD"/>
    <w:rsid w:val="009A784B"/>
    <w:rsid w:val="009A796D"/>
    <w:rsid w:val="009B060D"/>
    <w:rsid w:val="009B7F7B"/>
    <w:rsid w:val="009C6FB3"/>
    <w:rsid w:val="009D1A92"/>
    <w:rsid w:val="009D2459"/>
    <w:rsid w:val="009D5221"/>
    <w:rsid w:val="009E2F18"/>
    <w:rsid w:val="009E39FD"/>
    <w:rsid w:val="009E4F80"/>
    <w:rsid w:val="009E5935"/>
    <w:rsid w:val="009E7E19"/>
    <w:rsid w:val="009F430C"/>
    <w:rsid w:val="009F4798"/>
    <w:rsid w:val="00A11841"/>
    <w:rsid w:val="00A1742C"/>
    <w:rsid w:val="00A2120E"/>
    <w:rsid w:val="00A228F7"/>
    <w:rsid w:val="00A23786"/>
    <w:rsid w:val="00A35989"/>
    <w:rsid w:val="00A406B9"/>
    <w:rsid w:val="00A438C0"/>
    <w:rsid w:val="00A46ABA"/>
    <w:rsid w:val="00A64385"/>
    <w:rsid w:val="00A647B8"/>
    <w:rsid w:val="00A662E3"/>
    <w:rsid w:val="00A71E91"/>
    <w:rsid w:val="00A759DB"/>
    <w:rsid w:val="00A77E30"/>
    <w:rsid w:val="00A802E2"/>
    <w:rsid w:val="00A8452B"/>
    <w:rsid w:val="00A858CF"/>
    <w:rsid w:val="00A8644F"/>
    <w:rsid w:val="00A90A8D"/>
    <w:rsid w:val="00A91EBE"/>
    <w:rsid w:val="00A96E91"/>
    <w:rsid w:val="00AA1F83"/>
    <w:rsid w:val="00AB2849"/>
    <w:rsid w:val="00AB682B"/>
    <w:rsid w:val="00AC1DCB"/>
    <w:rsid w:val="00AC3CD5"/>
    <w:rsid w:val="00AC41C8"/>
    <w:rsid w:val="00AC7624"/>
    <w:rsid w:val="00AC7B20"/>
    <w:rsid w:val="00AD1614"/>
    <w:rsid w:val="00AD36A3"/>
    <w:rsid w:val="00AD3B7C"/>
    <w:rsid w:val="00AD4257"/>
    <w:rsid w:val="00AD50C8"/>
    <w:rsid w:val="00AD54BD"/>
    <w:rsid w:val="00AE0784"/>
    <w:rsid w:val="00AE3D10"/>
    <w:rsid w:val="00AE5AFB"/>
    <w:rsid w:val="00B051A1"/>
    <w:rsid w:val="00B055B7"/>
    <w:rsid w:val="00B05F77"/>
    <w:rsid w:val="00B10235"/>
    <w:rsid w:val="00B17D87"/>
    <w:rsid w:val="00B247E1"/>
    <w:rsid w:val="00B24A14"/>
    <w:rsid w:val="00B253D4"/>
    <w:rsid w:val="00B27DB4"/>
    <w:rsid w:val="00B301CA"/>
    <w:rsid w:val="00B348F5"/>
    <w:rsid w:val="00B37F21"/>
    <w:rsid w:val="00B479E6"/>
    <w:rsid w:val="00B51D97"/>
    <w:rsid w:val="00B534E2"/>
    <w:rsid w:val="00B53E8D"/>
    <w:rsid w:val="00B60CA1"/>
    <w:rsid w:val="00B6287A"/>
    <w:rsid w:val="00B6423E"/>
    <w:rsid w:val="00B81083"/>
    <w:rsid w:val="00B811F8"/>
    <w:rsid w:val="00B8744A"/>
    <w:rsid w:val="00B874EB"/>
    <w:rsid w:val="00B87B91"/>
    <w:rsid w:val="00B87C4C"/>
    <w:rsid w:val="00B909FC"/>
    <w:rsid w:val="00B94BB5"/>
    <w:rsid w:val="00B97573"/>
    <w:rsid w:val="00BA2C1A"/>
    <w:rsid w:val="00BA4F90"/>
    <w:rsid w:val="00BA5121"/>
    <w:rsid w:val="00BA5D31"/>
    <w:rsid w:val="00BA5FD8"/>
    <w:rsid w:val="00BB0E60"/>
    <w:rsid w:val="00BB2EC5"/>
    <w:rsid w:val="00BB5131"/>
    <w:rsid w:val="00BC2332"/>
    <w:rsid w:val="00BC5EF0"/>
    <w:rsid w:val="00BD6E2E"/>
    <w:rsid w:val="00BE1ED5"/>
    <w:rsid w:val="00BE341D"/>
    <w:rsid w:val="00BE3951"/>
    <w:rsid w:val="00BE72FD"/>
    <w:rsid w:val="00BE7865"/>
    <w:rsid w:val="00BF4565"/>
    <w:rsid w:val="00BF7B7E"/>
    <w:rsid w:val="00C03CFE"/>
    <w:rsid w:val="00C07E14"/>
    <w:rsid w:val="00C12DC4"/>
    <w:rsid w:val="00C13CCE"/>
    <w:rsid w:val="00C154F5"/>
    <w:rsid w:val="00C16257"/>
    <w:rsid w:val="00C21CB1"/>
    <w:rsid w:val="00C34A69"/>
    <w:rsid w:val="00C444E5"/>
    <w:rsid w:val="00C50D15"/>
    <w:rsid w:val="00C51B64"/>
    <w:rsid w:val="00C62683"/>
    <w:rsid w:val="00C67A75"/>
    <w:rsid w:val="00C72308"/>
    <w:rsid w:val="00C72BD4"/>
    <w:rsid w:val="00C735DE"/>
    <w:rsid w:val="00C807DD"/>
    <w:rsid w:val="00C81070"/>
    <w:rsid w:val="00C85549"/>
    <w:rsid w:val="00C86216"/>
    <w:rsid w:val="00C90D3A"/>
    <w:rsid w:val="00C91848"/>
    <w:rsid w:val="00C9566F"/>
    <w:rsid w:val="00CA1BD1"/>
    <w:rsid w:val="00CB195A"/>
    <w:rsid w:val="00CB3BF8"/>
    <w:rsid w:val="00CC4C55"/>
    <w:rsid w:val="00CC68BD"/>
    <w:rsid w:val="00CD1FB7"/>
    <w:rsid w:val="00CD2182"/>
    <w:rsid w:val="00CD4A26"/>
    <w:rsid w:val="00CD5408"/>
    <w:rsid w:val="00CE1F7A"/>
    <w:rsid w:val="00CF01F8"/>
    <w:rsid w:val="00CF3522"/>
    <w:rsid w:val="00CF7A22"/>
    <w:rsid w:val="00D0216E"/>
    <w:rsid w:val="00D068AA"/>
    <w:rsid w:val="00D07A6F"/>
    <w:rsid w:val="00D165D5"/>
    <w:rsid w:val="00D1727E"/>
    <w:rsid w:val="00D26ABE"/>
    <w:rsid w:val="00D30881"/>
    <w:rsid w:val="00D4182E"/>
    <w:rsid w:val="00D41B0E"/>
    <w:rsid w:val="00D436C7"/>
    <w:rsid w:val="00D43DD4"/>
    <w:rsid w:val="00D44BD4"/>
    <w:rsid w:val="00D45213"/>
    <w:rsid w:val="00D503D7"/>
    <w:rsid w:val="00D60EAA"/>
    <w:rsid w:val="00D713BB"/>
    <w:rsid w:val="00D7580F"/>
    <w:rsid w:val="00D80382"/>
    <w:rsid w:val="00D819E1"/>
    <w:rsid w:val="00D85107"/>
    <w:rsid w:val="00D853E7"/>
    <w:rsid w:val="00D900B5"/>
    <w:rsid w:val="00DA0FC0"/>
    <w:rsid w:val="00DA4412"/>
    <w:rsid w:val="00DA568F"/>
    <w:rsid w:val="00DA58EE"/>
    <w:rsid w:val="00DB1FB8"/>
    <w:rsid w:val="00DB2CB7"/>
    <w:rsid w:val="00DB4622"/>
    <w:rsid w:val="00DB583F"/>
    <w:rsid w:val="00DB60B4"/>
    <w:rsid w:val="00DC4864"/>
    <w:rsid w:val="00DC64B7"/>
    <w:rsid w:val="00DD0A6E"/>
    <w:rsid w:val="00DD27B8"/>
    <w:rsid w:val="00DD2C0F"/>
    <w:rsid w:val="00DD7EFB"/>
    <w:rsid w:val="00DE365B"/>
    <w:rsid w:val="00DF0D9E"/>
    <w:rsid w:val="00DF3524"/>
    <w:rsid w:val="00DF3838"/>
    <w:rsid w:val="00DF7BBA"/>
    <w:rsid w:val="00E03F98"/>
    <w:rsid w:val="00E0791C"/>
    <w:rsid w:val="00E1483D"/>
    <w:rsid w:val="00E158EF"/>
    <w:rsid w:val="00E16697"/>
    <w:rsid w:val="00E24990"/>
    <w:rsid w:val="00E25EC2"/>
    <w:rsid w:val="00E26088"/>
    <w:rsid w:val="00E31A53"/>
    <w:rsid w:val="00E33C32"/>
    <w:rsid w:val="00E34D2D"/>
    <w:rsid w:val="00E37D58"/>
    <w:rsid w:val="00E409EF"/>
    <w:rsid w:val="00E42DA0"/>
    <w:rsid w:val="00E44901"/>
    <w:rsid w:val="00E47371"/>
    <w:rsid w:val="00E543F8"/>
    <w:rsid w:val="00E55D34"/>
    <w:rsid w:val="00E5613F"/>
    <w:rsid w:val="00E635BD"/>
    <w:rsid w:val="00E63B4C"/>
    <w:rsid w:val="00E63CFD"/>
    <w:rsid w:val="00E66EE2"/>
    <w:rsid w:val="00E76496"/>
    <w:rsid w:val="00E8090A"/>
    <w:rsid w:val="00E92B0F"/>
    <w:rsid w:val="00E944A7"/>
    <w:rsid w:val="00EA4339"/>
    <w:rsid w:val="00EB416C"/>
    <w:rsid w:val="00EC7807"/>
    <w:rsid w:val="00ED23F6"/>
    <w:rsid w:val="00ED7B3C"/>
    <w:rsid w:val="00EE007E"/>
    <w:rsid w:val="00EE11FD"/>
    <w:rsid w:val="00EE22D0"/>
    <w:rsid w:val="00EE56F9"/>
    <w:rsid w:val="00EE6AC9"/>
    <w:rsid w:val="00EE7BC1"/>
    <w:rsid w:val="00EF0454"/>
    <w:rsid w:val="00F03A21"/>
    <w:rsid w:val="00F04082"/>
    <w:rsid w:val="00F07323"/>
    <w:rsid w:val="00F21F44"/>
    <w:rsid w:val="00F223CC"/>
    <w:rsid w:val="00F24A86"/>
    <w:rsid w:val="00F258D7"/>
    <w:rsid w:val="00F311FC"/>
    <w:rsid w:val="00F36031"/>
    <w:rsid w:val="00F42874"/>
    <w:rsid w:val="00F4754E"/>
    <w:rsid w:val="00F522A4"/>
    <w:rsid w:val="00F54E4C"/>
    <w:rsid w:val="00F6761B"/>
    <w:rsid w:val="00F74327"/>
    <w:rsid w:val="00F7456E"/>
    <w:rsid w:val="00F82CEA"/>
    <w:rsid w:val="00F83180"/>
    <w:rsid w:val="00F903B1"/>
    <w:rsid w:val="00F91DE1"/>
    <w:rsid w:val="00F92E7B"/>
    <w:rsid w:val="00F949D5"/>
    <w:rsid w:val="00F97BD8"/>
    <w:rsid w:val="00FA043C"/>
    <w:rsid w:val="00FA1696"/>
    <w:rsid w:val="00FA2164"/>
    <w:rsid w:val="00FA2D5E"/>
    <w:rsid w:val="00FA703B"/>
    <w:rsid w:val="00FB12A0"/>
    <w:rsid w:val="00FB57A8"/>
    <w:rsid w:val="00FB5C92"/>
    <w:rsid w:val="00FC0ECE"/>
    <w:rsid w:val="00FC6082"/>
    <w:rsid w:val="00FD35FC"/>
    <w:rsid w:val="00FD4CC5"/>
    <w:rsid w:val="00FD7843"/>
    <w:rsid w:val="00FF04F5"/>
    <w:rsid w:val="00FF624F"/>
    <w:rsid w:val="0103226E"/>
    <w:rsid w:val="010B0FF4"/>
    <w:rsid w:val="014E88D8"/>
    <w:rsid w:val="01C63CAD"/>
    <w:rsid w:val="01CC45BF"/>
    <w:rsid w:val="01F6C3D2"/>
    <w:rsid w:val="022AC20B"/>
    <w:rsid w:val="0258D089"/>
    <w:rsid w:val="025BA3BA"/>
    <w:rsid w:val="02881D8D"/>
    <w:rsid w:val="02AA327B"/>
    <w:rsid w:val="02B0FD6C"/>
    <w:rsid w:val="02D13110"/>
    <w:rsid w:val="02DB18C9"/>
    <w:rsid w:val="02E03C65"/>
    <w:rsid w:val="031AEFE2"/>
    <w:rsid w:val="032FFBF0"/>
    <w:rsid w:val="033BB7E4"/>
    <w:rsid w:val="0364F6A8"/>
    <w:rsid w:val="039C6079"/>
    <w:rsid w:val="03F45FE5"/>
    <w:rsid w:val="0412C07A"/>
    <w:rsid w:val="04138735"/>
    <w:rsid w:val="0423DE92"/>
    <w:rsid w:val="0487DC49"/>
    <w:rsid w:val="04A7B07B"/>
    <w:rsid w:val="04BF6132"/>
    <w:rsid w:val="04D3F645"/>
    <w:rsid w:val="055A37A6"/>
    <w:rsid w:val="0564F847"/>
    <w:rsid w:val="057611CD"/>
    <w:rsid w:val="0576F839"/>
    <w:rsid w:val="058D3E8A"/>
    <w:rsid w:val="05E15FA2"/>
    <w:rsid w:val="06545ECB"/>
    <w:rsid w:val="06D7543D"/>
    <w:rsid w:val="06F04A1F"/>
    <w:rsid w:val="06F6A174"/>
    <w:rsid w:val="0715A462"/>
    <w:rsid w:val="0753782E"/>
    <w:rsid w:val="077E64D2"/>
    <w:rsid w:val="07C660B6"/>
    <w:rsid w:val="0800970C"/>
    <w:rsid w:val="08036D13"/>
    <w:rsid w:val="083B97B4"/>
    <w:rsid w:val="085CEB0F"/>
    <w:rsid w:val="0876DF79"/>
    <w:rsid w:val="0896CD81"/>
    <w:rsid w:val="08C8120D"/>
    <w:rsid w:val="08F74FB5"/>
    <w:rsid w:val="095D6997"/>
    <w:rsid w:val="096E38FC"/>
    <w:rsid w:val="098BE37E"/>
    <w:rsid w:val="09927036"/>
    <w:rsid w:val="09B2B146"/>
    <w:rsid w:val="09B907D4"/>
    <w:rsid w:val="09EEF702"/>
    <w:rsid w:val="09F48673"/>
    <w:rsid w:val="0A7A1D99"/>
    <w:rsid w:val="0A9B0D9C"/>
    <w:rsid w:val="0B117719"/>
    <w:rsid w:val="0B2885A9"/>
    <w:rsid w:val="0B35F148"/>
    <w:rsid w:val="0B4337C9"/>
    <w:rsid w:val="0BAE8DE4"/>
    <w:rsid w:val="0BC719F6"/>
    <w:rsid w:val="0BFC800E"/>
    <w:rsid w:val="0C1B36BA"/>
    <w:rsid w:val="0C8F2793"/>
    <w:rsid w:val="0C96F8D7"/>
    <w:rsid w:val="0CA53C83"/>
    <w:rsid w:val="0CD6DE36"/>
    <w:rsid w:val="0CDC7F45"/>
    <w:rsid w:val="0CF2352A"/>
    <w:rsid w:val="0D3B23A5"/>
    <w:rsid w:val="0D95F6F0"/>
    <w:rsid w:val="0D98506F"/>
    <w:rsid w:val="0DBC4C74"/>
    <w:rsid w:val="0DBE991F"/>
    <w:rsid w:val="0E115326"/>
    <w:rsid w:val="0E544694"/>
    <w:rsid w:val="0E7D3419"/>
    <w:rsid w:val="0E91B0DB"/>
    <w:rsid w:val="0EFBE988"/>
    <w:rsid w:val="0F08D6D6"/>
    <w:rsid w:val="0F4073CB"/>
    <w:rsid w:val="0F6E363F"/>
    <w:rsid w:val="0F92B4E2"/>
    <w:rsid w:val="0FBE699D"/>
    <w:rsid w:val="0FE688D3"/>
    <w:rsid w:val="102D813C"/>
    <w:rsid w:val="103C086E"/>
    <w:rsid w:val="10B97A92"/>
    <w:rsid w:val="10CE74D0"/>
    <w:rsid w:val="11080B61"/>
    <w:rsid w:val="112133BE"/>
    <w:rsid w:val="11384D26"/>
    <w:rsid w:val="11720CF6"/>
    <w:rsid w:val="11CDD4B3"/>
    <w:rsid w:val="11ED22E8"/>
    <w:rsid w:val="11F81074"/>
    <w:rsid w:val="128D13E3"/>
    <w:rsid w:val="12BD041F"/>
    <w:rsid w:val="1308DB87"/>
    <w:rsid w:val="130BC620"/>
    <w:rsid w:val="134E49AE"/>
    <w:rsid w:val="13649DE6"/>
    <w:rsid w:val="136C2124"/>
    <w:rsid w:val="1377CA6F"/>
    <w:rsid w:val="13A4B1CF"/>
    <w:rsid w:val="13C00623"/>
    <w:rsid w:val="13D9695B"/>
    <w:rsid w:val="141A7A0D"/>
    <w:rsid w:val="1433F02E"/>
    <w:rsid w:val="1458D480"/>
    <w:rsid w:val="145C3950"/>
    <w:rsid w:val="14AB4B3A"/>
    <w:rsid w:val="14ACDA98"/>
    <w:rsid w:val="14C18D67"/>
    <w:rsid w:val="14E1F01B"/>
    <w:rsid w:val="15057575"/>
    <w:rsid w:val="15149CF2"/>
    <w:rsid w:val="1556EE8E"/>
    <w:rsid w:val="15C538E2"/>
    <w:rsid w:val="15DB7C84"/>
    <w:rsid w:val="15ECD4BD"/>
    <w:rsid w:val="15F94B46"/>
    <w:rsid w:val="1610FA5F"/>
    <w:rsid w:val="1618F952"/>
    <w:rsid w:val="1620BC4D"/>
    <w:rsid w:val="17829A6D"/>
    <w:rsid w:val="1792AAE9"/>
    <w:rsid w:val="17A882E9"/>
    <w:rsid w:val="17E99E32"/>
    <w:rsid w:val="183D1637"/>
    <w:rsid w:val="184B5139"/>
    <w:rsid w:val="18626AB6"/>
    <w:rsid w:val="1866C8D1"/>
    <w:rsid w:val="18756920"/>
    <w:rsid w:val="189D294B"/>
    <w:rsid w:val="18FC5567"/>
    <w:rsid w:val="1995C1C8"/>
    <w:rsid w:val="19A9A0FD"/>
    <w:rsid w:val="19C00EB0"/>
    <w:rsid w:val="19E80E15"/>
    <w:rsid w:val="1A03517A"/>
    <w:rsid w:val="1A3C08EA"/>
    <w:rsid w:val="1A402010"/>
    <w:rsid w:val="1A8FFBD4"/>
    <w:rsid w:val="1AA892AE"/>
    <w:rsid w:val="1ABBDD80"/>
    <w:rsid w:val="1ADA20A1"/>
    <w:rsid w:val="1B51319F"/>
    <w:rsid w:val="1B595B93"/>
    <w:rsid w:val="1B83DE76"/>
    <w:rsid w:val="1B8B86D2"/>
    <w:rsid w:val="1BD7D94B"/>
    <w:rsid w:val="1BF1656D"/>
    <w:rsid w:val="1C1A915E"/>
    <w:rsid w:val="1C44630F"/>
    <w:rsid w:val="1C570F12"/>
    <w:rsid w:val="1C769F47"/>
    <w:rsid w:val="1CBD765F"/>
    <w:rsid w:val="1CC01C52"/>
    <w:rsid w:val="1CF52BF4"/>
    <w:rsid w:val="1D4A3885"/>
    <w:rsid w:val="1DA8ECFB"/>
    <w:rsid w:val="1E7858A5"/>
    <w:rsid w:val="1E79C61E"/>
    <w:rsid w:val="1E9CE86B"/>
    <w:rsid w:val="1EBBEC5B"/>
    <w:rsid w:val="1EF40798"/>
    <w:rsid w:val="1F316613"/>
    <w:rsid w:val="1F61923F"/>
    <w:rsid w:val="1F62C3FF"/>
    <w:rsid w:val="1F636CF7"/>
    <w:rsid w:val="1FB5EF6E"/>
    <w:rsid w:val="1FBE4E67"/>
    <w:rsid w:val="201A878B"/>
    <w:rsid w:val="20282FDE"/>
    <w:rsid w:val="202D86F6"/>
    <w:rsid w:val="20574F99"/>
    <w:rsid w:val="206116FE"/>
    <w:rsid w:val="20661146"/>
    <w:rsid w:val="209F168F"/>
    <w:rsid w:val="20A2B447"/>
    <w:rsid w:val="212AC360"/>
    <w:rsid w:val="218017A4"/>
    <w:rsid w:val="21A38FB0"/>
    <w:rsid w:val="21DBD47B"/>
    <w:rsid w:val="21E4A323"/>
    <w:rsid w:val="2233E9A3"/>
    <w:rsid w:val="225144A1"/>
    <w:rsid w:val="2291FCD6"/>
    <w:rsid w:val="22BCEEC2"/>
    <w:rsid w:val="23050A29"/>
    <w:rsid w:val="23476CE2"/>
    <w:rsid w:val="2357BFE2"/>
    <w:rsid w:val="235FB2B3"/>
    <w:rsid w:val="23646D78"/>
    <w:rsid w:val="236D6997"/>
    <w:rsid w:val="23A333F8"/>
    <w:rsid w:val="23F3CE14"/>
    <w:rsid w:val="24896691"/>
    <w:rsid w:val="248CF09C"/>
    <w:rsid w:val="24BA0BE0"/>
    <w:rsid w:val="25003DD9"/>
    <w:rsid w:val="25330791"/>
    <w:rsid w:val="25353211"/>
    <w:rsid w:val="25572A7E"/>
    <w:rsid w:val="25AB3D03"/>
    <w:rsid w:val="25AFF5F7"/>
    <w:rsid w:val="26044D35"/>
    <w:rsid w:val="26116C25"/>
    <w:rsid w:val="2618A96E"/>
    <w:rsid w:val="26195ABD"/>
    <w:rsid w:val="26650829"/>
    <w:rsid w:val="27015131"/>
    <w:rsid w:val="272909B1"/>
    <w:rsid w:val="2767F3FA"/>
    <w:rsid w:val="277A5AB1"/>
    <w:rsid w:val="27AD3C86"/>
    <w:rsid w:val="2848B6A6"/>
    <w:rsid w:val="285435BD"/>
    <w:rsid w:val="2882AC27"/>
    <w:rsid w:val="28CB5916"/>
    <w:rsid w:val="28D02E1A"/>
    <w:rsid w:val="28FA1D7E"/>
    <w:rsid w:val="29431A24"/>
    <w:rsid w:val="29886713"/>
    <w:rsid w:val="2996FE2D"/>
    <w:rsid w:val="29C36A1B"/>
    <w:rsid w:val="29DF5DAE"/>
    <w:rsid w:val="2A04D780"/>
    <w:rsid w:val="2A29CBA3"/>
    <w:rsid w:val="2A2D7FD6"/>
    <w:rsid w:val="2A4F97E5"/>
    <w:rsid w:val="2A62E9BF"/>
    <w:rsid w:val="2ABC7D2A"/>
    <w:rsid w:val="2ABF4002"/>
    <w:rsid w:val="2AF2837A"/>
    <w:rsid w:val="2B5F15E4"/>
    <w:rsid w:val="2B823850"/>
    <w:rsid w:val="2B82F133"/>
    <w:rsid w:val="2BA1EFC6"/>
    <w:rsid w:val="2BAFE010"/>
    <w:rsid w:val="2BB28B52"/>
    <w:rsid w:val="2BE6DD4F"/>
    <w:rsid w:val="2BEF1ACB"/>
    <w:rsid w:val="2C25DF3F"/>
    <w:rsid w:val="2C68CF58"/>
    <w:rsid w:val="2CEAE765"/>
    <w:rsid w:val="2CF8FE42"/>
    <w:rsid w:val="2D2F79AD"/>
    <w:rsid w:val="2D503E49"/>
    <w:rsid w:val="2D555F61"/>
    <w:rsid w:val="2D8D14F0"/>
    <w:rsid w:val="2DE12F8F"/>
    <w:rsid w:val="2E054D65"/>
    <w:rsid w:val="2E5DFAFF"/>
    <w:rsid w:val="2EA7201F"/>
    <w:rsid w:val="2F0B9499"/>
    <w:rsid w:val="2F349544"/>
    <w:rsid w:val="2F89A83B"/>
    <w:rsid w:val="2F9D161B"/>
    <w:rsid w:val="2FAF9ED6"/>
    <w:rsid w:val="2FE6F16C"/>
    <w:rsid w:val="300C2FE5"/>
    <w:rsid w:val="302CA6C7"/>
    <w:rsid w:val="304DD499"/>
    <w:rsid w:val="3055F82E"/>
    <w:rsid w:val="30E6C45D"/>
    <w:rsid w:val="31156122"/>
    <w:rsid w:val="3170D531"/>
    <w:rsid w:val="317EE73F"/>
    <w:rsid w:val="31B02C22"/>
    <w:rsid w:val="31EFFA53"/>
    <w:rsid w:val="320A5AF0"/>
    <w:rsid w:val="3211D1D7"/>
    <w:rsid w:val="324D73B3"/>
    <w:rsid w:val="32B1DBFF"/>
    <w:rsid w:val="32C91518"/>
    <w:rsid w:val="3311E567"/>
    <w:rsid w:val="334697A4"/>
    <w:rsid w:val="33B2AB72"/>
    <w:rsid w:val="3468633C"/>
    <w:rsid w:val="34697728"/>
    <w:rsid w:val="34905502"/>
    <w:rsid w:val="34972CBA"/>
    <w:rsid w:val="3503A950"/>
    <w:rsid w:val="350E37AF"/>
    <w:rsid w:val="353776BF"/>
    <w:rsid w:val="354DFCA1"/>
    <w:rsid w:val="354E7BD3"/>
    <w:rsid w:val="357A1EF1"/>
    <w:rsid w:val="35F0CC08"/>
    <w:rsid w:val="3604339D"/>
    <w:rsid w:val="36502C66"/>
    <w:rsid w:val="3684A8A2"/>
    <w:rsid w:val="36AF60AE"/>
    <w:rsid w:val="36EEDAA0"/>
    <w:rsid w:val="373D2527"/>
    <w:rsid w:val="376A9D14"/>
    <w:rsid w:val="3794BA20"/>
    <w:rsid w:val="3799995D"/>
    <w:rsid w:val="379A4728"/>
    <w:rsid w:val="37A5DA09"/>
    <w:rsid w:val="37D775BC"/>
    <w:rsid w:val="384E0265"/>
    <w:rsid w:val="38551244"/>
    <w:rsid w:val="38962D24"/>
    <w:rsid w:val="3923E236"/>
    <w:rsid w:val="392CB019"/>
    <w:rsid w:val="393BD45F"/>
    <w:rsid w:val="39528BFF"/>
    <w:rsid w:val="395A0B42"/>
    <w:rsid w:val="395F8314"/>
    <w:rsid w:val="398E410F"/>
    <w:rsid w:val="39A71AB3"/>
    <w:rsid w:val="39CB6659"/>
    <w:rsid w:val="39D30752"/>
    <w:rsid w:val="3A08C499"/>
    <w:rsid w:val="3A6BD629"/>
    <w:rsid w:val="3A7EBBC3"/>
    <w:rsid w:val="3AC1BF7E"/>
    <w:rsid w:val="3AC46D5C"/>
    <w:rsid w:val="3C0F2338"/>
    <w:rsid w:val="3C2BF8FB"/>
    <w:rsid w:val="3C5C30AB"/>
    <w:rsid w:val="3CB360A8"/>
    <w:rsid w:val="3CB5B35D"/>
    <w:rsid w:val="3CF315DF"/>
    <w:rsid w:val="3D080EBD"/>
    <w:rsid w:val="3D131AE7"/>
    <w:rsid w:val="3D28BDDD"/>
    <w:rsid w:val="3D598DB8"/>
    <w:rsid w:val="3D66D3F6"/>
    <w:rsid w:val="3DA5E743"/>
    <w:rsid w:val="3DF74249"/>
    <w:rsid w:val="3E1D7232"/>
    <w:rsid w:val="3E2D7C65"/>
    <w:rsid w:val="3E9734BA"/>
    <w:rsid w:val="3EA3D725"/>
    <w:rsid w:val="3EA4B49F"/>
    <w:rsid w:val="3EC56DDD"/>
    <w:rsid w:val="3F3CE280"/>
    <w:rsid w:val="3F58302C"/>
    <w:rsid w:val="3F6FD524"/>
    <w:rsid w:val="3F86A3A8"/>
    <w:rsid w:val="3F8CBE83"/>
    <w:rsid w:val="3F8FB48B"/>
    <w:rsid w:val="3FA7ADCE"/>
    <w:rsid w:val="3FA87508"/>
    <w:rsid w:val="3FB6A455"/>
    <w:rsid w:val="3FCA4EE8"/>
    <w:rsid w:val="3FE0603F"/>
    <w:rsid w:val="40518B23"/>
    <w:rsid w:val="40723CA7"/>
    <w:rsid w:val="40B633B1"/>
    <w:rsid w:val="40C814F2"/>
    <w:rsid w:val="4111021A"/>
    <w:rsid w:val="412B84EC"/>
    <w:rsid w:val="414FDA17"/>
    <w:rsid w:val="416AAF7C"/>
    <w:rsid w:val="4190A16B"/>
    <w:rsid w:val="41A8E526"/>
    <w:rsid w:val="41C851C5"/>
    <w:rsid w:val="420E0D08"/>
    <w:rsid w:val="4226C79E"/>
    <w:rsid w:val="427FAC24"/>
    <w:rsid w:val="42A0F2FD"/>
    <w:rsid w:val="42B163AA"/>
    <w:rsid w:val="42D76CC7"/>
    <w:rsid w:val="42EE4517"/>
    <w:rsid w:val="42F8A5F3"/>
    <w:rsid w:val="4310A92E"/>
    <w:rsid w:val="434F3EC0"/>
    <w:rsid w:val="435BAF1B"/>
    <w:rsid w:val="43642226"/>
    <w:rsid w:val="438F5441"/>
    <w:rsid w:val="4390B50C"/>
    <w:rsid w:val="4398DF00"/>
    <w:rsid w:val="43B29790"/>
    <w:rsid w:val="44134EB7"/>
    <w:rsid w:val="4449FD51"/>
    <w:rsid w:val="4451EAD7"/>
    <w:rsid w:val="44733D28"/>
    <w:rsid w:val="44C24D17"/>
    <w:rsid w:val="44EA22AB"/>
    <w:rsid w:val="45123DB4"/>
    <w:rsid w:val="45375BA4"/>
    <w:rsid w:val="4596B197"/>
    <w:rsid w:val="45FEF60F"/>
    <w:rsid w:val="460A52C4"/>
    <w:rsid w:val="4634DF71"/>
    <w:rsid w:val="46A4EC3E"/>
    <w:rsid w:val="46EB325C"/>
    <w:rsid w:val="47386578"/>
    <w:rsid w:val="47753B15"/>
    <w:rsid w:val="479AC670"/>
    <w:rsid w:val="47A62325"/>
    <w:rsid w:val="47B4E34A"/>
    <w:rsid w:val="47CF7B0E"/>
    <w:rsid w:val="47E07ADC"/>
    <w:rsid w:val="48017EDA"/>
    <w:rsid w:val="48CE5259"/>
    <w:rsid w:val="48DB8A0B"/>
    <w:rsid w:val="48F3D5BF"/>
    <w:rsid w:val="490D037B"/>
    <w:rsid w:val="49543487"/>
    <w:rsid w:val="49BB4C1E"/>
    <w:rsid w:val="49BC63E7"/>
    <w:rsid w:val="49E4502C"/>
    <w:rsid w:val="49F5EAA5"/>
    <w:rsid w:val="4A513D57"/>
    <w:rsid w:val="4A5AD9FB"/>
    <w:rsid w:val="4A7869DD"/>
    <w:rsid w:val="4A7BB730"/>
    <w:rsid w:val="4A7ED5C5"/>
    <w:rsid w:val="4AD26732"/>
    <w:rsid w:val="4ADDC3E7"/>
    <w:rsid w:val="4B12AB56"/>
    <w:rsid w:val="4B34F354"/>
    <w:rsid w:val="4B800509"/>
    <w:rsid w:val="4BB4EF4E"/>
    <w:rsid w:val="4BC2F93A"/>
    <w:rsid w:val="4BC86320"/>
    <w:rsid w:val="4BF5257D"/>
    <w:rsid w:val="4C391C80"/>
    <w:rsid w:val="4C5B2336"/>
    <w:rsid w:val="4C799448"/>
    <w:rsid w:val="4C8F35E0"/>
    <w:rsid w:val="4C93AD1F"/>
    <w:rsid w:val="4C9B0283"/>
    <w:rsid w:val="4CA8D1F0"/>
    <w:rsid w:val="4CC20F93"/>
    <w:rsid w:val="4CCDD96D"/>
    <w:rsid w:val="4CDF978F"/>
    <w:rsid w:val="4CE5BE4E"/>
    <w:rsid w:val="4D1E4F34"/>
    <w:rsid w:val="4DB4D5E9"/>
    <w:rsid w:val="4DCCA379"/>
    <w:rsid w:val="4DFA200B"/>
    <w:rsid w:val="4E1A1F6E"/>
    <w:rsid w:val="4E4D4FF8"/>
    <w:rsid w:val="4EC8396D"/>
    <w:rsid w:val="4ECD760A"/>
    <w:rsid w:val="4EE656CB"/>
    <w:rsid w:val="4EF59850"/>
    <w:rsid w:val="4F01670C"/>
    <w:rsid w:val="4F1D685B"/>
    <w:rsid w:val="4F53C351"/>
    <w:rsid w:val="4F8F641F"/>
    <w:rsid w:val="4F949D7E"/>
    <w:rsid w:val="4FA5D855"/>
    <w:rsid w:val="503D94E4"/>
    <w:rsid w:val="505A6BBA"/>
    <w:rsid w:val="506B81F4"/>
    <w:rsid w:val="506D545D"/>
    <w:rsid w:val="506F3814"/>
    <w:rsid w:val="50776208"/>
    <w:rsid w:val="507B7C76"/>
    <w:rsid w:val="5082272C"/>
    <w:rsid w:val="5192908F"/>
    <w:rsid w:val="521DF78D"/>
    <w:rsid w:val="52268CF5"/>
    <w:rsid w:val="52513DAB"/>
    <w:rsid w:val="525E80A9"/>
    <w:rsid w:val="52DD7917"/>
    <w:rsid w:val="52FD74D0"/>
    <w:rsid w:val="5322A06D"/>
    <w:rsid w:val="5396185A"/>
    <w:rsid w:val="53E128AD"/>
    <w:rsid w:val="53F03ACA"/>
    <w:rsid w:val="5423CAF4"/>
    <w:rsid w:val="54624F76"/>
    <w:rsid w:val="54827B15"/>
    <w:rsid w:val="54AFF4A6"/>
    <w:rsid w:val="54B8B978"/>
    <w:rsid w:val="552E1402"/>
    <w:rsid w:val="554F5A6C"/>
    <w:rsid w:val="564FB89F"/>
    <w:rsid w:val="56C50288"/>
    <w:rsid w:val="57233586"/>
    <w:rsid w:val="5733497A"/>
    <w:rsid w:val="577B6BA3"/>
    <w:rsid w:val="57852B84"/>
    <w:rsid w:val="57B0864E"/>
    <w:rsid w:val="57B36F4C"/>
    <w:rsid w:val="57B6023A"/>
    <w:rsid w:val="57C68EBC"/>
    <w:rsid w:val="5826570F"/>
    <w:rsid w:val="582BCA78"/>
    <w:rsid w:val="5879254B"/>
    <w:rsid w:val="58A1C380"/>
    <w:rsid w:val="58C51D0B"/>
    <w:rsid w:val="58C7CAE0"/>
    <w:rsid w:val="5921B332"/>
    <w:rsid w:val="595CD215"/>
    <w:rsid w:val="598CFEBF"/>
    <w:rsid w:val="599ECDBE"/>
    <w:rsid w:val="59DA3D80"/>
    <w:rsid w:val="59E04232"/>
    <w:rsid w:val="59E9CD8C"/>
    <w:rsid w:val="59ECCFDA"/>
    <w:rsid w:val="5A2590A3"/>
    <w:rsid w:val="5A2F42B7"/>
    <w:rsid w:val="5A4BE76E"/>
    <w:rsid w:val="5A506A31"/>
    <w:rsid w:val="5A7D3BE5"/>
    <w:rsid w:val="5AA158A9"/>
    <w:rsid w:val="5ACD5FEE"/>
    <w:rsid w:val="5AE7679F"/>
    <w:rsid w:val="5AF5352F"/>
    <w:rsid w:val="5AF8A276"/>
    <w:rsid w:val="5B196AF8"/>
    <w:rsid w:val="5B28CF20"/>
    <w:rsid w:val="5B85BBAF"/>
    <w:rsid w:val="5B8DCEE5"/>
    <w:rsid w:val="5BB20DF1"/>
    <w:rsid w:val="5C04C45D"/>
    <w:rsid w:val="5C5D3CE4"/>
    <w:rsid w:val="5C66ACE7"/>
    <w:rsid w:val="5CD71713"/>
    <w:rsid w:val="5D4C803B"/>
    <w:rsid w:val="5D5DD296"/>
    <w:rsid w:val="5D6A52A8"/>
    <w:rsid w:val="5D77BB9F"/>
    <w:rsid w:val="5D85E5BD"/>
    <w:rsid w:val="5DC2B89B"/>
    <w:rsid w:val="5DE231E3"/>
    <w:rsid w:val="5DE40592"/>
    <w:rsid w:val="5E0E2EBA"/>
    <w:rsid w:val="5E2BB637"/>
    <w:rsid w:val="5EB5F44A"/>
    <w:rsid w:val="5EC0973B"/>
    <w:rsid w:val="5ECB0A9A"/>
    <w:rsid w:val="5F0859E4"/>
    <w:rsid w:val="5F21B61E"/>
    <w:rsid w:val="5F50EB0F"/>
    <w:rsid w:val="5FA9095E"/>
    <w:rsid w:val="5FBAD8C2"/>
    <w:rsid w:val="5FC42613"/>
    <w:rsid w:val="5FD13D8C"/>
    <w:rsid w:val="5FDA303C"/>
    <w:rsid w:val="5FEF6450"/>
    <w:rsid w:val="600B4EE8"/>
    <w:rsid w:val="6025CC31"/>
    <w:rsid w:val="608D85D2"/>
    <w:rsid w:val="619810A4"/>
    <w:rsid w:val="61BE8F81"/>
    <w:rsid w:val="61DED5A9"/>
    <w:rsid w:val="6202C43C"/>
    <w:rsid w:val="620F296F"/>
    <w:rsid w:val="6214047E"/>
    <w:rsid w:val="62295633"/>
    <w:rsid w:val="623143B9"/>
    <w:rsid w:val="62326716"/>
    <w:rsid w:val="6244B199"/>
    <w:rsid w:val="625FE9E9"/>
    <w:rsid w:val="62A2A532"/>
    <w:rsid w:val="62FBC6D5"/>
    <w:rsid w:val="63364F59"/>
    <w:rsid w:val="63966113"/>
    <w:rsid w:val="63D8C906"/>
    <w:rsid w:val="645978BF"/>
    <w:rsid w:val="649F84BC"/>
    <w:rsid w:val="64AF1AF7"/>
    <w:rsid w:val="64B938BD"/>
    <w:rsid w:val="64D74957"/>
    <w:rsid w:val="64D79EEC"/>
    <w:rsid w:val="64F43715"/>
    <w:rsid w:val="65138441"/>
    <w:rsid w:val="655E5B22"/>
    <w:rsid w:val="65620CF9"/>
    <w:rsid w:val="656A07D8"/>
    <w:rsid w:val="657A1F52"/>
    <w:rsid w:val="657C525B"/>
    <w:rsid w:val="65BC6AC9"/>
    <w:rsid w:val="661946F5"/>
    <w:rsid w:val="661C2F6A"/>
    <w:rsid w:val="66448F41"/>
    <w:rsid w:val="66549D29"/>
    <w:rsid w:val="66618BFA"/>
    <w:rsid w:val="66736F4D"/>
    <w:rsid w:val="667D8C64"/>
    <w:rsid w:val="66BE9B96"/>
    <w:rsid w:val="66F31745"/>
    <w:rsid w:val="6736DABF"/>
    <w:rsid w:val="6781D0D3"/>
    <w:rsid w:val="6784F5A8"/>
    <w:rsid w:val="67875787"/>
    <w:rsid w:val="679D190A"/>
    <w:rsid w:val="67A10966"/>
    <w:rsid w:val="67CF37F8"/>
    <w:rsid w:val="67ED426F"/>
    <w:rsid w:val="68195CC5"/>
    <w:rsid w:val="681F5FCF"/>
    <w:rsid w:val="68228EDF"/>
    <w:rsid w:val="68726551"/>
    <w:rsid w:val="68D192AA"/>
    <w:rsid w:val="692CFF18"/>
    <w:rsid w:val="69759AC6"/>
    <w:rsid w:val="69AB100F"/>
    <w:rsid w:val="69DA279C"/>
    <w:rsid w:val="6A346818"/>
    <w:rsid w:val="6A3578D0"/>
    <w:rsid w:val="6A3C559E"/>
    <w:rsid w:val="6A456681"/>
    <w:rsid w:val="6A4BDAAA"/>
    <w:rsid w:val="6AB99893"/>
    <w:rsid w:val="6AF59DE3"/>
    <w:rsid w:val="6B0EC640"/>
    <w:rsid w:val="6B197114"/>
    <w:rsid w:val="6B2C81B6"/>
    <w:rsid w:val="6B3B08D0"/>
    <w:rsid w:val="6B3EF2EA"/>
    <w:rsid w:val="6B50FD87"/>
    <w:rsid w:val="6B591293"/>
    <w:rsid w:val="6B6E0C72"/>
    <w:rsid w:val="6B84E671"/>
    <w:rsid w:val="6BC80E85"/>
    <w:rsid w:val="6BD03879"/>
    <w:rsid w:val="6C1D7CF2"/>
    <w:rsid w:val="6C499F89"/>
    <w:rsid w:val="6C5DE3DC"/>
    <w:rsid w:val="6C740A70"/>
    <w:rsid w:val="6CAA96A1"/>
    <w:rsid w:val="6D08BC0B"/>
    <w:rsid w:val="6D76F693"/>
    <w:rsid w:val="6D8D24F6"/>
    <w:rsid w:val="6E0E82AF"/>
    <w:rsid w:val="6E3A8C88"/>
    <w:rsid w:val="6E4E90F6"/>
    <w:rsid w:val="6E78C953"/>
    <w:rsid w:val="6E889E49"/>
    <w:rsid w:val="6ED41CC9"/>
    <w:rsid w:val="6F2E08C8"/>
    <w:rsid w:val="6F37B362"/>
    <w:rsid w:val="6F5F8531"/>
    <w:rsid w:val="6F72F1BB"/>
    <w:rsid w:val="6F9DE743"/>
    <w:rsid w:val="6FBC8BDE"/>
    <w:rsid w:val="6FC7F8BF"/>
    <w:rsid w:val="6FE23763"/>
    <w:rsid w:val="6FEA6C7E"/>
    <w:rsid w:val="701499B4"/>
    <w:rsid w:val="7020E768"/>
    <w:rsid w:val="7048C415"/>
    <w:rsid w:val="7058BAB8"/>
    <w:rsid w:val="709B7FA8"/>
    <w:rsid w:val="70B1CF76"/>
    <w:rsid w:val="70B4A805"/>
    <w:rsid w:val="70F2B869"/>
    <w:rsid w:val="71017958"/>
    <w:rsid w:val="71287F2A"/>
    <w:rsid w:val="7151FE68"/>
    <w:rsid w:val="71771705"/>
    <w:rsid w:val="71C0490C"/>
    <w:rsid w:val="71EF3108"/>
    <w:rsid w:val="71F3C039"/>
    <w:rsid w:val="72261532"/>
    <w:rsid w:val="72507866"/>
    <w:rsid w:val="72C022C7"/>
    <w:rsid w:val="72D41A5C"/>
    <w:rsid w:val="7319D825"/>
    <w:rsid w:val="733882F6"/>
    <w:rsid w:val="73D5F163"/>
    <w:rsid w:val="74471069"/>
    <w:rsid w:val="74AC361D"/>
    <w:rsid w:val="74ADBB00"/>
    <w:rsid w:val="74D20C73"/>
    <w:rsid w:val="74DBC6B0"/>
    <w:rsid w:val="74E0CFA7"/>
    <w:rsid w:val="74FD83F1"/>
    <w:rsid w:val="750D692D"/>
    <w:rsid w:val="751FD4B0"/>
    <w:rsid w:val="75740F45"/>
    <w:rsid w:val="75AD5A04"/>
    <w:rsid w:val="75CECF11"/>
    <w:rsid w:val="75DC0DB8"/>
    <w:rsid w:val="7614B291"/>
    <w:rsid w:val="763842E1"/>
    <w:rsid w:val="76DA57D7"/>
    <w:rsid w:val="76FB739D"/>
    <w:rsid w:val="775F0487"/>
    <w:rsid w:val="778E0281"/>
    <w:rsid w:val="7790D5B4"/>
    <w:rsid w:val="77A58074"/>
    <w:rsid w:val="77B8BBEF"/>
    <w:rsid w:val="77D1954A"/>
    <w:rsid w:val="77F5733C"/>
    <w:rsid w:val="78046845"/>
    <w:rsid w:val="78627D8F"/>
    <w:rsid w:val="78670D75"/>
    <w:rsid w:val="78981A61"/>
    <w:rsid w:val="78AEBB81"/>
    <w:rsid w:val="78BF938C"/>
    <w:rsid w:val="79369409"/>
    <w:rsid w:val="798A95E1"/>
    <w:rsid w:val="798E28E4"/>
    <w:rsid w:val="79A66E88"/>
    <w:rsid w:val="79CD1655"/>
    <w:rsid w:val="7A1FCD95"/>
    <w:rsid w:val="7A4A8BE2"/>
    <w:rsid w:val="7A4BA327"/>
    <w:rsid w:val="7A7CFC4B"/>
    <w:rsid w:val="7A80C22B"/>
    <w:rsid w:val="7A8465B4"/>
    <w:rsid w:val="7A97AC67"/>
    <w:rsid w:val="7AAD8C19"/>
    <w:rsid w:val="7AC36A94"/>
    <w:rsid w:val="7AF6BB33"/>
    <w:rsid w:val="7B4EE610"/>
    <w:rsid w:val="7B6B3BBA"/>
    <w:rsid w:val="7B7EEEB3"/>
    <w:rsid w:val="7B872E39"/>
    <w:rsid w:val="7BA29444"/>
    <w:rsid w:val="7BAC5140"/>
    <w:rsid w:val="7BBA494A"/>
    <w:rsid w:val="7BDD0EF2"/>
    <w:rsid w:val="7BE65C43"/>
    <w:rsid w:val="7BE8F504"/>
    <w:rsid w:val="7BFF4039"/>
    <w:rsid w:val="7C1DF58C"/>
    <w:rsid w:val="7C2977EA"/>
    <w:rsid w:val="7C4F2E9D"/>
    <w:rsid w:val="7C7D4547"/>
    <w:rsid w:val="7CAD818A"/>
    <w:rsid w:val="7CC8E45F"/>
    <w:rsid w:val="7CDECE4F"/>
    <w:rsid w:val="7D1C6762"/>
    <w:rsid w:val="7D1E9B3A"/>
    <w:rsid w:val="7D827644"/>
    <w:rsid w:val="7DABC759"/>
    <w:rsid w:val="7DB5B6FA"/>
    <w:rsid w:val="7DDA8886"/>
    <w:rsid w:val="7E1B29CC"/>
    <w:rsid w:val="7E42FFA3"/>
    <w:rsid w:val="7E72D404"/>
    <w:rsid w:val="7E83D8AB"/>
    <w:rsid w:val="7EBECC72"/>
    <w:rsid w:val="7F212380"/>
    <w:rsid w:val="7F2EFB6E"/>
    <w:rsid w:val="7F36B994"/>
    <w:rsid w:val="7F3F4F56"/>
    <w:rsid w:val="7F8801F9"/>
    <w:rsid w:val="7F9AC8EF"/>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5B6BF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083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D50C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50C8"/>
    <w:rPr>
      <w:rFonts w:ascii="Segoe UI" w:hAnsi="Segoe UI" w:cs="Segoe UI"/>
      <w:sz w:val="18"/>
      <w:szCs w:val="18"/>
    </w:rPr>
  </w:style>
  <w:style w:type="paragraph" w:styleId="Header">
    <w:name w:val="header"/>
    <w:basedOn w:val="Normal"/>
    <w:link w:val="HeaderChar"/>
    <w:uiPriority w:val="99"/>
    <w:unhideWhenUsed/>
    <w:rsid w:val="00A23786"/>
    <w:pPr>
      <w:tabs>
        <w:tab w:val="center" w:pos="4513"/>
        <w:tab w:val="right" w:pos="9026"/>
      </w:tabs>
      <w:spacing w:after="0" w:line="240" w:lineRule="auto"/>
    </w:pPr>
  </w:style>
  <w:style w:type="character" w:customStyle="1" w:styleId="HeaderChar">
    <w:name w:val="Header Char"/>
    <w:basedOn w:val="DefaultParagraphFont"/>
    <w:link w:val="Header"/>
    <w:uiPriority w:val="99"/>
    <w:rsid w:val="00A23786"/>
  </w:style>
  <w:style w:type="paragraph" w:styleId="Footer">
    <w:name w:val="footer"/>
    <w:basedOn w:val="Normal"/>
    <w:link w:val="FooterChar"/>
    <w:uiPriority w:val="99"/>
    <w:unhideWhenUsed/>
    <w:rsid w:val="00A23786"/>
    <w:pPr>
      <w:tabs>
        <w:tab w:val="center" w:pos="4513"/>
        <w:tab w:val="right" w:pos="9026"/>
      </w:tabs>
      <w:spacing w:after="0" w:line="240" w:lineRule="auto"/>
    </w:pPr>
  </w:style>
  <w:style w:type="character" w:customStyle="1" w:styleId="FooterChar">
    <w:name w:val="Footer Char"/>
    <w:basedOn w:val="DefaultParagraphFont"/>
    <w:link w:val="Footer"/>
    <w:uiPriority w:val="99"/>
    <w:rsid w:val="00A23786"/>
  </w:style>
  <w:style w:type="paragraph" w:styleId="ListParagraph">
    <w:name w:val="List Paragraph"/>
    <w:basedOn w:val="Normal"/>
    <w:uiPriority w:val="34"/>
    <w:qFormat/>
    <w:rsid w:val="001C7259"/>
    <w:pPr>
      <w:ind w:left="720"/>
      <w:contextualSpacing/>
    </w:pPr>
  </w:style>
  <w:style w:type="character" w:styleId="Hyperlink">
    <w:name w:val="Hyperlink"/>
    <w:rsid w:val="00937FE1"/>
    <w:rPr>
      <w:color w:val="0000FF"/>
      <w:u w:val="single"/>
    </w:rPr>
  </w:style>
  <w:style w:type="character" w:customStyle="1" w:styleId="contact-email">
    <w:name w:val="contact-email"/>
    <w:basedOn w:val="DefaultParagraphFont"/>
    <w:rsid w:val="00937FE1"/>
  </w:style>
  <w:style w:type="character" w:customStyle="1" w:styleId="contact-number">
    <w:name w:val="contact-number"/>
    <w:basedOn w:val="DefaultParagraphFont"/>
    <w:rsid w:val="00937FE1"/>
  </w:style>
  <w:style w:type="character" w:styleId="UnresolvedMention">
    <w:name w:val="Unresolved Mention"/>
    <w:basedOn w:val="DefaultParagraphFont"/>
    <w:uiPriority w:val="99"/>
    <w:semiHidden/>
    <w:unhideWhenUsed/>
    <w:rsid w:val="008F0192"/>
    <w:rPr>
      <w:color w:val="605E5C"/>
      <w:shd w:val="clear" w:color="auto" w:fill="E1DFDD"/>
    </w:rPr>
  </w:style>
  <w:style w:type="table" w:styleId="TableGrid">
    <w:name w:val="Table Grid"/>
    <w:basedOn w:val="TableNormal"/>
    <w:uiPriority w:val="39"/>
    <w:rsid w:val="00BD6E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430171"/>
    <w:pPr>
      <w:spacing w:after="0" w:line="240" w:lineRule="auto"/>
    </w:pPr>
  </w:style>
  <w:style w:type="paragraph" w:styleId="EndnoteText">
    <w:name w:val="endnote text"/>
    <w:basedOn w:val="Normal"/>
    <w:link w:val="EndnoteTextChar"/>
    <w:uiPriority w:val="99"/>
    <w:semiHidden/>
    <w:unhideWhenUsed/>
    <w:rsid w:val="0043017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30171"/>
    <w:rPr>
      <w:sz w:val="20"/>
      <w:szCs w:val="20"/>
    </w:rPr>
  </w:style>
  <w:style w:type="character" w:styleId="EndnoteReference">
    <w:name w:val="endnote reference"/>
    <w:basedOn w:val="DefaultParagraphFont"/>
    <w:uiPriority w:val="99"/>
    <w:semiHidden/>
    <w:unhideWhenUsed/>
    <w:rsid w:val="00430171"/>
    <w:rPr>
      <w:vertAlign w:val="superscript"/>
    </w:rPr>
  </w:style>
  <w:style w:type="character" w:customStyle="1" w:styleId="normaltextrun">
    <w:name w:val="normaltextrun"/>
    <w:basedOn w:val="DefaultParagraphFont"/>
    <w:uiPriority w:val="1"/>
    <w:rsid w:val="1D4A3885"/>
  </w:style>
  <w:style w:type="character" w:customStyle="1" w:styleId="eop">
    <w:name w:val="eop"/>
    <w:basedOn w:val="DefaultParagraphFont"/>
    <w:uiPriority w:val="1"/>
    <w:rsid w:val="1D4A3885"/>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007708"/>
    <w:pPr>
      <w:spacing w:after="0" w:line="240" w:lineRule="auto"/>
    </w:pPr>
  </w:style>
  <w:style w:type="paragraph" w:styleId="CommentSubject">
    <w:name w:val="annotation subject"/>
    <w:basedOn w:val="CommentText"/>
    <w:next w:val="CommentText"/>
    <w:link w:val="CommentSubjectChar"/>
    <w:uiPriority w:val="99"/>
    <w:semiHidden/>
    <w:unhideWhenUsed/>
    <w:rsid w:val="00745967"/>
    <w:rPr>
      <w:b/>
      <w:bCs/>
    </w:rPr>
  </w:style>
  <w:style w:type="character" w:customStyle="1" w:styleId="CommentSubjectChar">
    <w:name w:val="Comment Subject Char"/>
    <w:basedOn w:val="CommentTextChar"/>
    <w:link w:val="CommentSubject"/>
    <w:uiPriority w:val="99"/>
    <w:semiHidden/>
    <w:rsid w:val="00745967"/>
    <w:rPr>
      <w:b/>
      <w:bCs/>
      <w:sz w:val="20"/>
      <w:szCs w:val="20"/>
    </w:rPr>
  </w:style>
  <w:style w:type="paragraph" w:styleId="NormalWeb">
    <w:name w:val="Normal (Web)"/>
    <w:basedOn w:val="Normal"/>
    <w:uiPriority w:val="99"/>
    <w:unhideWhenUsed/>
    <w:rsid w:val="00297B7F"/>
    <w:pPr>
      <w:spacing w:before="100" w:beforeAutospacing="1" w:after="100" w:afterAutospacing="1" w:line="240" w:lineRule="auto"/>
    </w:pPr>
    <w:rPr>
      <w:rFonts w:ascii="Times New Roman" w:eastAsia="Times New Roman" w:hAnsi="Times New Roman" w:cs="Times New Roman"/>
      <w:sz w:val="24"/>
      <w:szCs w:val="24"/>
      <w:lang w:val="it-IT" w:eastAsia="it-IT"/>
    </w:rPr>
  </w:style>
  <w:style w:type="character" w:styleId="FollowedHyperlink">
    <w:name w:val="FollowedHyperlink"/>
    <w:basedOn w:val="DefaultParagraphFont"/>
    <w:uiPriority w:val="99"/>
    <w:semiHidden/>
    <w:unhideWhenUsed/>
    <w:rsid w:val="003C10FA"/>
    <w:rPr>
      <w:color w:val="954F72" w:themeColor="followedHyperlink"/>
      <w:u w:val="single"/>
    </w:rPr>
  </w:style>
  <w:style w:type="paragraph" w:customStyle="1" w:styleId="paragraph">
    <w:name w:val="paragraph"/>
    <w:basedOn w:val="Normal"/>
    <w:rsid w:val="00373FF1"/>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788457">
      <w:bodyDiv w:val="1"/>
      <w:marLeft w:val="0"/>
      <w:marRight w:val="0"/>
      <w:marTop w:val="0"/>
      <w:marBottom w:val="0"/>
      <w:divBdr>
        <w:top w:val="none" w:sz="0" w:space="0" w:color="auto"/>
        <w:left w:val="none" w:sz="0" w:space="0" w:color="auto"/>
        <w:bottom w:val="none" w:sz="0" w:space="0" w:color="auto"/>
        <w:right w:val="none" w:sz="0" w:space="0" w:color="auto"/>
      </w:divBdr>
      <w:divsChild>
        <w:div w:id="599917369">
          <w:marLeft w:val="150"/>
          <w:marRight w:val="0"/>
          <w:marTop w:val="0"/>
          <w:marBottom w:val="0"/>
          <w:divBdr>
            <w:top w:val="none" w:sz="0" w:space="0" w:color="auto"/>
            <w:left w:val="none" w:sz="0" w:space="0" w:color="auto"/>
            <w:bottom w:val="none" w:sz="0" w:space="0" w:color="auto"/>
            <w:right w:val="none" w:sz="0" w:space="0" w:color="auto"/>
          </w:divBdr>
        </w:div>
        <w:div w:id="619650115">
          <w:marLeft w:val="150"/>
          <w:marRight w:val="0"/>
          <w:marTop w:val="0"/>
          <w:marBottom w:val="0"/>
          <w:divBdr>
            <w:top w:val="none" w:sz="0" w:space="0" w:color="auto"/>
            <w:left w:val="none" w:sz="0" w:space="0" w:color="auto"/>
            <w:bottom w:val="none" w:sz="0" w:space="0" w:color="auto"/>
            <w:right w:val="none" w:sz="0" w:space="0" w:color="auto"/>
          </w:divBdr>
        </w:div>
        <w:div w:id="1011106464">
          <w:marLeft w:val="150"/>
          <w:marRight w:val="0"/>
          <w:marTop w:val="0"/>
          <w:marBottom w:val="0"/>
          <w:divBdr>
            <w:top w:val="none" w:sz="0" w:space="0" w:color="auto"/>
            <w:left w:val="none" w:sz="0" w:space="0" w:color="auto"/>
            <w:bottom w:val="none" w:sz="0" w:space="0" w:color="auto"/>
            <w:right w:val="none" w:sz="0" w:space="0" w:color="auto"/>
          </w:divBdr>
        </w:div>
      </w:divsChild>
    </w:div>
    <w:div w:id="193033505">
      <w:bodyDiv w:val="1"/>
      <w:marLeft w:val="0"/>
      <w:marRight w:val="0"/>
      <w:marTop w:val="0"/>
      <w:marBottom w:val="0"/>
      <w:divBdr>
        <w:top w:val="none" w:sz="0" w:space="0" w:color="auto"/>
        <w:left w:val="none" w:sz="0" w:space="0" w:color="auto"/>
        <w:bottom w:val="none" w:sz="0" w:space="0" w:color="auto"/>
        <w:right w:val="none" w:sz="0" w:space="0" w:color="auto"/>
      </w:divBdr>
    </w:div>
    <w:div w:id="245578604">
      <w:bodyDiv w:val="1"/>
      <w:marLeft w:val="0"/>
      <w:marRight w:val="0"/>
      <w:marTop w:val="0"/>
      <w:marBottom w:val="0"/>
      <w:divBdr>
        <w:top w:val="none" w:sz="0" w:space="0" w:color="auto"/>
        <w:left w:val="none" w:sz="0" w:space="0" w:color="auto"/>
        <w:bottom w:val="none" w:sz="0" w:space="0" w:color="auto"/>
        <w:right w:val="none" w:sz="0" w:space="0" w:color="auto"/>
      </w:divBdr>
    </w:div>
    <w:div w:id="269167650">
      <w:bodyDiv w:val="1"/>
      <w:marLeft w:val="0"/>
      <w:marRight w:val="0"/>
      <w:marTop w:val="0"/>
      <w:marBottom w:val="0"/>
      <w:divBdr>
        <w:top w:val="none" w:sz="0" w:space="0" w:color="auto"/>
        <w:left w:val="none" w:sz="0" w:space="0" w:color="auto"/>
        <w:bottom w:val="none" w:sz="0" w:space="0" w:color="auto"/>
        <w:right w:val="none" w:sz="0" w:space="0" w:color="auto"/>
      </w:divBdr>
    </w:div>
    <w:div w:id="304505821">
      <w:bodyDiv w:val="1"/>
      <w:marLeft w:val="0"/>
      <w:marRight w:val="0"/>
      <w:marTop w:val="0"/>
      <w:marBottom w:val="0"/>
      <w:divBdr>
        <w:top w:val="none" w:sz="0" w:space="0" w:color="auto"/>
        <w:left w:val="none" w:sz="0" w:space="0" w:color="auto"/>
        <w:bottom w:val="none" w:sz="0" w:space="0" w:color="auto"/>
        <w:right w:val="none" w:sz="0" w:space="0" w:color="auto"/>
      </w:divBdr>
    </w:div>
    <w:div w:id="369382523">
      <w:bodyDiv w:val="1"/>
      <w:marLeft w:val="0"/>
      <w:marRight w:val="0"/>
      <w:marTop w:val="0"/>
      <w:marBottom w:val="0"/>
      <w:divBdr>
        <w:top w:val="none" w:sz="0" w:space="0" w:color="auto"/>
        <w:left w:val="none" w:sz="0" w:space="0" w:color="auto"/>
        <w:bottom w:val="none" w:sz="0" w:space="0" w:color="auto"/>
        <w:right w:val="none" w:sz="0" w:space="0" w:color="auto"/>
      </w:divBdr>
    </w:div>
    <w:div w:id="371930062">
      <w:bodyDiv w:val="1"/>
      <w:marLeft w:val="0"/>
      <w:marRight w:val="0"/>
      <w:marTop w:val="0"/>
      <w:marBottom w:val="0"/>
      <w:divBdr>
        <w:top w:val="none" w:sz="0" w:space="0" w:color="auto"/>
        <w:left w:val="none" w:sz="0" w:space="0" w:color="auto"/>
        <w:bottom w:val="none" w:sz="0" w:space="0" w:color="auto"/>
        <w:right w:val="none" w:sz="0" w:space="0" w:color="auto"/>
      </w:divBdr>
      <w:divsChild>
        <w:div w:id="764809588">
          <w:marLeft w:val="150"/>
          <w:marRight w:val="0"/>
          <w:marTop w:val="0"/>
          <w:marBottom w:val="0"/>
          <w:divBdr>
            <w:top w:val="none" w:sz="0" w:space="0" w:color="auto"/>
            <w:left w:val="none" w:sz="0" w:space="0" w:color="auto"/>
            <w:bottom w:val="none" w:sz="0" w:space="0" w:color="auto"/>
            <w:right w:val="none" w:sz="0" w:space="0" w:color="auto"/>
          </w:divBdr>
        </w:div>
        <w:div w:id="2045670217">
          <w:marLeft w:val="150"/>
          <w:marRight w:val="0"/>
          <w:marTop w:val="0"/>
          <w:marBottom w:val="0"/>
          <w:divBdr>
            <w:top w:val="none" w:sz="0" w:space="0" w:color="auto"/>
            <w:left w:val="none" w:sz="0" w:space="0" w:color="auto"/>
            <w:bottom w:val="none" w:sz="0" w:space="0" w:color="auto"/>
            <w:right w:val="none" w:sz="0" w:space="0" w:color="auto"/>
          </w:divBdr>
        </w:div>
        <w:div w:id="720982749">
          <w:marLeft w:val="150"/>
          <w:marRight w:val="0"/>
          <w:marTop w:val="0"/>
          <w:marBottom w:val="0"/>
          <w:divBdr>
            <w:top w:val="none" w:sz="0" w:space="0" w:color="auto"/>
            <w:left w:val="none" w:sz="0" w:space="0" w:color="auto"/>
            <w:bottom w:val="none" w:sz="0" w:space="0" w:color="auto"/>
            <w:right w:val="none" w:sz="0" w:space="0" w:color="auto"/>
          </w:divBdr>
        </w:div>
      </w:divsChild>
    </w:div>
    <w:div w:id="446240258">
      <w:bodyDiv w:val="1"/>
      <w:marLeft w:val="0"/>
      <w:marRight w:val="0"/>
      <w:marTop w:val="0"/>
      <w:marBottom w:val="0"/>
      <w:divBdr>
        <w:top w:val="none" w:sz="0" w:space="0" w:color="auto"/>
        <w:left w:val="none" w:sz="0" w:space="0" w:color="auto"/>
        <w:bottom w:val="none" w:sz="0" w:space="0" w:color="auto"/>
        <w:right w:val="none" w:sz="0" w:space="0" w:color="auto"/>
      </w:divBdr>
    </w:div>
    <w:div w:id="448158958">
      <w:bodyDiv w:val="1"/>
      <w:marLeft w:val="0"/>
      <w:marRight w:val="0"/>
      <w:marTop w:val="0"/>
      <w:marBottom w:val="0"/>
      <w:divBdr>
        <w:top w:val="none" w:sz="0" w:space="0" w:color="auto"/>
        <w:left w:val="none" w:sz="0" w:space="0" w:color="auto"/>
        <w:bottom w:val="none" w:sz="0" w:space="0" w:color="auto"/>
        <w:right w:val="none" w:sz="0" w:space="0" w:color="auto"/>
      </w:divBdr>
      <w:divsChild>
        <w:div w:id="309941925">
          <w:marLeft w:val="150"/>
          <w:marRight w:val="0"/>
          <w:marTop w:val="0"/>
          <w:marBottom w:val="0"/>
          <w:divBdr>
            <w:top w:val="none" w:sz="0" w:space="0" w:color="auto"/>
            <w:left w:val="none" w:sz="0" w:space="0" w:color="auto"/>
            <w:bottom w:val="none" w:sz="0" w:space="0" w:color="auto"/>
            <w:right w:val="none" w:sz="0" w:space="0" w:color="auto"/>
          </w:divBdr>
        </w:div>
        <w:div w:id="1348406883">
          <w:marLeft w:val="150"/>
          <w:marRight w:val="0"/>
          <w:marTop w:val="0"/>
          <w:marBottom w:val="0"/>
          <w:divBdr>
            <w:top w:val="none" w:sz="0" w:space="0" w:color="auto"/>
            <w:left w:val="none" w:sz="0" w:space="0" w:color="auto"/>
            <w:bottom w:val="none" w:sz="0" w:space="0" w:color="auto"/>
            <w:right w:val="none" w:sz="0" w:space="0" w:color="auto"/>
          </w:divBdr>
        </w:div>
        <w:div w:id="1776974770">
          <w:marLeft w:val="150"/>
          <w:marRight w:val="0"/>
          <w:marTop w:val="0"/>
          <w:marBottom w:val="0"/>
          <w:divBdr>
            <w:top w:val="none" w:sz="0" w:space="0" w:color="auto"/>
            <w:left w:val="none" w:sz="0" w:space="0" w:color="auto"/>
            <w:bottom w:val="none" w:sz="0" w:space="0" w:color="auto"/>
            <w:right w:val="none" w:sz="0" w:space="0" w:color="auto"/>
          </w:divBdr>
        </w:div>
      </w:divsChild>
    </w:div>
    <w:div w:id="508329332">
      <w:bodyDiv w:val="1"/>
      <w:marLeft w:val="0"/>
      <w:marRight w:val="0"/>
      <w:marTop w:val="0"/>
      <w:marBottom w:val="0"/>
      <w:divBdr>
        <w:top w:val="none" w:sz="0" w:space="0" w:color="auto"/>
        <w:left w:val="none" w:sz="0" w:space="0" w:color="auto"/>
        <w:bottom w:val="none" w:sz="0" w:space="0" w:color="auto"/>
        <w:right w:val="none" w:sz="0" w:space="0" w:color="auto"/>
      </w:divBdr>
    </w:div>
    <w:div w:id="565186311">
      <w:bodyDiv w:val="1"/>
      <w:marLeft w:val="0"/>
      <w:marRight w:val="0"/>
      <w:marTop w:val="0"/>
      <w:marBottom w:val="0"/>
      <w:divBdr>
        <w:top w:val="none" w:sz="0" w:space="0" w:color="auto"/>
        <w:left w:val="none" w:sz="0" w:space="0" w:color="auto"/>
        <w:bottom w:val="none" w:sz="0" w:space="0" w:color="auto"/>
        <w:right w:val="none" w:sz="0" w:space="0" w:color="auto"/>
      </w:divBdr>
    </w:div>
    <w:div w:id="594554617">
      <w:bodyDiv w:val="1"/>
      <w:marLeft w:val="0"/>
      <w:marRight w:val="0"/>
      <w:marTop w:val="0"/>
      <w:marBottom w:val="0"/>
      <w:divBdr>
        <w:top w:val="none" w:sz="0" w:space="0" w:color="auto"/>
        <w:left w:val="none" w:sz="0" w:space="0" w:color="auto"/>
        <w:bottom w:val="none" w:sz="0" w:space="0" w:color="auto"/>
        <w:right w:val="none" w:sz="0" w:space="0" w:color="auto"/>
      </w:divBdr>
      <w:divsChild>
        <w:div w:id="1837307863">
          <w:marLeft w:val="150"/>
          <w:marRight w:val="0"/>
          <w:marTop w:val="0"/>
          <w:marBottom w:val="0"/>
          <w:divBdr>
            <w:top w:val="none" w:sz="0" w:space="0" w:color="auto"/>
            <w:left w:val="none" w:sz="0" w:space="0" w:color="auto"/>
            <w:bottom w:val="none" w:sz="0" w:space="0" w:color="auto"/>
            <w:right w:val="none" w:sz="0" w:space="0" w:color="auto"/>
          </w:divBdr>
        </w:div>
      </w:divsChild>
    </w:div>
    <w:div w:id="698967726">
      <w:bodyDiv w:val="1"/>
      <w:marLeft w:val="0"/>
      <w:marRight w:val="0"/>
      <w:marTop w:val="0"/>
      <w:marBottom w:val="0"/>
      <w:divBdr>
        <w:top w:val="none" w:sz="0" w:space="0" w:color="auto"/>
        <w:left w:val="none" w:sz="0" w:space="0" w:color="auto"/>
        <w:bottom w:val="none" w:sz="0" w:space="0" w:color="auto"/>
        <w:right w:val="none" w:sz="0" w:space="0" w:color="auto"/>
      </w:divBdr>
    </w:div>
    <w:div w:id="780882146">
      <w:bodyDiv w:val="1"/>
      <w:marLeft w:val="0"/>
      <w:marRight w:val="0"/>
      <w:marTop w:val="0"/>
      <w:marBottom w:val="0"/>
      <w:divBdr>
        <w:top w:val="none" w:sz="0" w:space="0" w:color="auto"/>
        <w:left w:val="none" w:sz="0" w:space="0" w:color="auto"/>
        <w:bottom w:val="none" w:sz="0" w:space="0" w:color="auto"/>
        <w:right w:val="none" w:sz="0" w:space="0" w:color="auto"/>
      </w:divBdr>
    </w:div>
    <w:div w:id="783577351">
      <w:bodyDiv w:val="1"/>
      <w:marLeft w:val="0"/>
      <w:marRight w:val="0"/>
      <w:marTop w:val="0"/>
      <w:marBottom w:val="0"/>
      <w:divBdr>
        <w:top w:val="none" w:sz="0" w:space="0" w:color="auto"/>
        <w:left w:val="none" w:sz="0" w:space="0" w:color="auto"/>
        <w:bottom w:val="none" w:sz="0" w:space="0" w:color="auto"/>
        <w:right w:val="none" w:sz="0" w:space="0" w:color="auto"/>
      </w:divBdr>
    </w:div>
    <w:div w:id="787554418">
      <w:bodyDiv w:val="1"/>
      <w:marLeft w:val="0"/>
      <w:marRight w:val="0"/>
      <w:marTop w:val="0"/>
      <w:marBottom w:val="0"/>
      <w:divBdr>
        <w:top w:val="none" w:sz="0" w:space="0" w:color="auto"/>
        <w:left w:val="none" w:sz="0" w:space="0" w:color="auto"/>
        <w:bottom w:val="none" w:sz="0" w:space="0" w:color="auto"/>
        <w:right w:val="none" w:sz="0" w:space="0" w:color="auto"/>
      </w:divBdr>
      <w:divsChild>
        <w:div w:id="420642022">
          <w:marLeft w:val="150"/>
          <w:marRight w:val="0"/>
          <w:marTop w:val="0"/>
          <w:marBottom w:val="0"/>
          <w:divBdr>
            <w:top w:val="none" w:sz="0" w:space="0" w:color="auto"/>
            <w:left w:val="none" w:sz="0" w:space="0" w:color="auto"/>
            <w:bottom w:val="none" w:sz="0" w:space="0" w:color="auto"/>
            <w:right w:val="none" w:sz="0" w:space="0" w:color="auto"/>
          </w:divBdr>
        </w:div>
      </w:divsChild>
    </w:div>
    <w:div w:id="845821704">
      <w:bodyDiv w:val="1"/>
      <w:marLeft w:val="0"/>
      <w:marRight w:val="0"/>
      <w:marTop w:val="0"/>
      <w:marBottom w:val="0"/>
      <w:divBdr>
        <w:top w:val="none" w:sz="0" w:space="0" w:color="auto"/>
        <w:left w:val="none" w:sz="0" w:space="0" w:color="auto"/>
        <w:bottom w:val="none" w:sz="0" w:space="0" w:color="auto"/>
        <w:right w:val="none" w:sz="0" w:space="0" w:color="auto"/>
      </w:divBdr>
    </w:div>
    <w:div w:id="846945034">
      <w:bodyDiv w:val="1"/>
      <w:marLeft w:val="0"/>
      <w:marRight w:val="0"/>
      <w:marTop w:val="0"/>
      <w:marBottom w:val="0"/>
      <w:divBdr>
        <w:top w:val="none" w:sz="0" w:space="0" w:color="auto"/>
        <w:left w:val="none" w:sz="0" w:space="0" w:color="auto"/>
        <w:bottom w:val="none" w:sz="0" w:space="0" w:color="auto"/>
        <w:right w:val="none" w:sz="0" w:space="0" w:color="auto"/>
      </w:divBdr>
      <w:divsChild>
        <w:div w:id="190071405">
          <w:marLeft w:val="150"/>
          <w:marRight w:val="0"/>
          <w:marTop w:val="0"/>
          <w:marBottom w:val="0"/>
          <w:divBdr>
            <w:top w:val="none" w:sz="0" w:space="0" w:color="auto"/>
            <w:left w:val="none" w:sz="0" w:space="0" w:color="auto"/>
            <w:bottom w:val="none" w:sz="0" w:space="0" w:color="auto"/>
            <w:right w:val="none" w:sz="0" w:space="0" w:color="auto"/>
          </w:divBdr>
        </w:div>
        <w:div w:id="850946013">
          <w:marLeft w:val="150"/>
          <w:marRight w:val="0"/>
          <w:marTop w:val="0"/>
          <w:marBottom w:val="0"/>
          <w:divBdr>
            <w:top w:val="none" w:sz="0" w:space="0" w:color="auto"/>
            <w:left w:val="none" w:sz="0" w:space="0" w:color="auto"/>
            <w:bottom w:val="none" w:sz="0" w:space="0" w:color="auto"/>
            <w:right w:val="none" w:sz="0" w:space="0" w:color="auto"/>
          </w:divBdr>
        </w:div>
        <w:div w:id="931933308">
          <w:marLeft w:val="150"/>
          <w:marRight w:val="0"/>
          <w:marTop w:val="0"/>
          <w:marBottom w:val="0"/>
          <w:divBdr>
            <w:top w:val="none" w:sz="0" w:space="0" w:color="auto"/>
            <w:left w:val="none" w:sz="0" w:space="0" w:color="auto"/>
            <w:bottom w:val="none" w:sz="0" w:space="0" w:color="auto"/>
            <w:right w:val="none" w:sz="0" w:space="0" w:color="auto"/>
          </w:divBdr>
        </w:div>
      </w:divsChild>
    </w:div>
    <w:div w:id="904533138">
      <w:bodyDiv w:val="1"/>
      <w:marLeft w:val="0"/>
      <w:marRight w:val="0"/>
      <w:marTop w:val="0"/>
      <w:marBottom w:val="0"/>
      <w:divBdr>
        <w:top w:val="none" w:sz="0" w:space="0" w:color="auto"/>
        <w:left w:val="none" w:sz="0" w:space="0" w:color="auto"/>
        <w:bottom w:val="none" w:sz="0" w:space="0" w:color="auto"/>
        <w:right w:val="none" w:sz="0" w:space="0" w:color="auto"/>
      </w:divBdr>
    </w:div>
    <w:div w:id="914894938">
      <w:bodyDiv w:val="1"/>
      <w:marLeft w:val="0"/>
      <w:marRight w:val="0"/>
      <w:marTop w:val="0"/>
      <w:marBottom w:val="0"/>
      <w:divBdr>
        <w:top w:val="none" w:sz="0" w:space="0" w:color="auto"/>
        <w:left w:val="none" w:sz="0" w:space="0" w:color="auto"/>
        <w:bottom w:val="none" w:sz="0" w:space="0" w:color="auto"/>
        <w:right w:val="none" w:sz="0" w:space="0" w:color="auto"/>
      </w:divBdr>
      <w:divsChild>
        <w:div w:id="1653098915">
          <w:marLeft w:val="150"/>
          <w:marRight w:val="0"/>
          <w:marTop w:val="0"/>
          <w:marBottom w:val="0"/>
          <w:divBdr>
            <w:top w:val="none" w:sz="0" w:space="0" w:color="auto"/>
            <w:left w:val="none" w:sz="0" w:space="0" w:color="auto"/>
            <w:bottom w:val="none" w:sz="0" w:space="0" w:color="auto"/>
            <w:right w:val="none" w:sz="0" w:space="0" w:color="auto"/>
          </w:divBdr>
        </w:div>
        <w:div w:id="201287852">
          <w:marLeft w:val="150"/>
          <w:marRight w:val="0"/>
          <w:marTop w:val="0"/>
          <w:marBottom w:val="0"/>
          <w:divBdr>
            <w:top w:val="none" w:sz="0" w:space="0" w:color="auto"/>
            <w:left w:val="none" w:sz="0" w:space="0" w:color="auto"/>
            <w:bottom w:val="none" w:sz="0" w:space="0" w:color="auto"/>
            <w:right w:val="none" w:sz="0" w:space="0" w:color="auto"/>
          </w:divBdr>
        </w:div>
        <w:div w:id="457065685">
          <w:marLeft w:val="150"/>
          <w:marRight w:val="0"/>
          <w:marTop w:val="0"/>
          <w:marBottom w:val="0"/>
          <w:divBdr>
            <w:top w:val="none" w:sz="0" w:space="0" w:color="auto"/>
            <w:left w:val="none" w:sz="0" w:space="0" w:color="auto"/>
            <w:bottom w:val="none" w:sz="0" w:space="0" w:color="auto"/>
            <w:right w:val="none" w:sz="0" w:space="0" w:color="auto"/>
          </w:divBdr>
        </w:div>
      </w:divsChild>
    </w:div>
    <w:div w:id="918247774">
      <w:bodyDiv w:val="1"/>
      <w:marLeft w:val="0"/>
      <w:marRight w:val="0"/>
      <w:marTop w:val="0"/>
      <w:marBottom w:val="0"/>
      <w:divBdr>
        <w:top w:val="none" w:sz="0" w:space="0" w:color="auto"/>
        <w:left w:val="none" w:sz="0" w:space="0" w:color="auto"/>
        <w:bottom w:val="none" w:sz="0" w:space="0" w:color="auto"/>
        <w:right w:val="none" w:sz="0" w:space="0" w:color="auto"/>
      </w:divBdr>
    </w:div>
    <w:div w:id="1001396890">
      <w:bodyDiv w:val="1"/>
      <w:marLeft w:val="0"/>
      <w:marRight w:val="0"/>
      <w:marTop w:val="0"/>
      <w:marBottom w:val="0"/>
      <w:divBdr>
        <w:top w:val="none" w:sz="0" w:space="0" w:color="auto"/>
        <w:left w:val="none" w:sz="0" w:space="0" w:color="auto"/>
        <w:bottom w:val="none" w:sz="0" w:space="0" w:color="auto"/>
        <w:right w:val="none" w:sz="0" w:space="0" w:color="auto"/>
      </w:divBdr>
    </w:div>
    <w:div w:id="1055199129">
      <w:bodyDiv w:val="1"/>
      <w:marLeft w:val="0"/>
      <w:marRight w:val="0"/>
      <w:marTop w:val="0"/>
      <w:marBottom w:val="0"/>
      <w:divBdr>
        <w:top w:val="none" w:sz="0" w:space="0" w:color="auto"/>
        <w:left w:val="none" w:sz="0" w:space="0" w:color="auto"/>
        <w:bottom w:val="none" w:sz="0" w:space="0" w:color="auto"/>
        <w:right w:val="none" w:sz="0" w:space="0" w:color="auto"/>
      </w:divBdr>
    </w:div>
    <w:div w:id="1072581631">
      <w:bodyDiv w:val="1"/>
      <w:marLeft w:val="0"/>
      <w:marRight w:val="0"/>
      <w:marTop w:val="0"/>
      <w:marBottom w:val="0"/>
      <w:divBdr>
        <w:top w:val="none" w:sz="0" w:space="0" w:color="auto"/>
        <w:left w:val="none" w:sz="0" w:space="0" w:color="auto"/>
        <w:bottom w:val="none" w:sz="0" w:space="0" w:color="auto"/>
        <w:right w:val="none" w:sz="0" w:space="0" w:color="auto"/>
      </w:divBdr>
    </w:div>
    <w:div w:id="1102609509">
      <w:bodyDiv w:val="1"/>
      <w:marLeft w:val="0"/>
      <w:marRight w:val="0"/>
      <w:marTop w:val="0"/>
      <w:marBottom w:val="0"/>
      <w:divBdr>
        <w:top w:val="none" w:sz="0" w:space="0" w:color="auto"/>
        <w:left w:val="none" w:sz="0" w:space="0" w:color="auto"/>
        <w:bottom w:val="none" w:sz="0" w:space="0" w:color="auto"/>
        <w:right w:val="none" w:sz="0" w:space="0" w:color="auto"/>
      </w:divBdr>
    </w:div>
    <w:div w:id="1259099680">
      <w:bodyDiv w:val="1"/>
      <w:marLeft w:val="0"/>
      <w:marRight w:val="0"/>
      <w:marTop w:val="0"/>
      <w:marBottom w:val="0"/>
      <w:divBdr>
        <w:top w:val="none" w:sz="0" w:space="0" w:color="auto"/>
        <w:left w:val="none" w:sz="0" w:space="0" w:color="auto"/>
        <w:bottom w:val="none" w:sz="0" w:space="0" w:color="auto"/>
        <w:right w:val="none" w:sz="0" w:space="0" w:color="auto"/>
      </w:divBdr>
    </w:div>
    <w:div w:id="1277910116">
      <w:bodyDiv w:val="1"/>
      <w:marLeft w:val="0"/>
      <w:marRight w:val="0"/>
      <w:marTop w:val="0"/>
      <w:marBottom w:val="0"/>
      <w:divBdr>
        <w:top w:val="none" w:sz="0" w:space="0" w:color="auto"/>
        <w:left w:val="none" w:sz="0" w:space="0" w:color="auto"/>
        <w:bottom w:val="none" w:sz="0" w:space="0" w:color="auto"/>
        <w:right w:val="none" w:sz="0" w:space="0" w:color="auto"/>
      </w:divBdr>
    </w:div>
    <w:div w:id="1287614984">
      <w:bodyDiv w:val="1"/>
      <w:marLeft w:val="0"/>
      <w:marRight w:val="0"/>
      <w:marTop w:val="0"/>
      <w:marBottom w:val="0"/>
      <w:divBdr>
        <w:top w:val="none" w:sz="0" w:space="0" w:color="auto"/>
        <w:left w:val="none" w:sz="0" w:space="0" w:color="auto"/>
        <w:bottom w:val="none" w:sz="0" w:space="0" w:color="auto"/>
        <w:right w:val="none" w:sz="0" w:space="0" w:color="auto"/>
      </w:divBdr>
    </w:div>
    <w:div w:id="1292395041">
      <w:bodyDiv w:val="1"/>
      <w:marLeft w:val="0"/>
      <w:marRight w:val="0"/>
      <w:marTop w:val="0"/>
      <w:marBottom w:val="0"/>
      <w:divBdr>
        <w:top w:val="none" w:sz="0" w:space="0" w:color="auto"/>
        <w:left w:val="none" w:sz="0" w:space="0" w:color="auto"/>
        <w:bottom w:val="none" w:sz="0" w:space="0" w:color="auto"/>
        <w:right w:val="none" w:sz="0" w:space="0" w:color="auto"/>
      </w:divBdr>
      <w:divsChild>
        <w:div w:id="1868172721">
          <w:marLeft w:val="0"/>
          <w:marRight w:val="0"/>
          <w:marTop w:val="0"/>
          <w:marBottom w:val="0"/>
          <w:divBdr>
            <w:top w:val="none" w:sz="0" w:space="0" w:color="auto"/>
            <w:left w:val="none" w:sz="0" w:space="0" w:color="auto"/>
            <w:bottom w:val="none" w:sz="0" w:space="0" w:color="auto"/>
            <w:right w:val="none" w:sz="0" w:space="0" w:color="auto"/>
          </w:divBdr>
          <w:divsChild>
            <w:div w:id="170687970">
              <w:marLeft w:val="0"/>
              <w:marRight w:val="0"/>
              <w:marTop w:val="0"/>
              <w:marBottom w:val="0"/>
              <w:divBdr>
                <w:top w:val="none" w:sz="0" w:space="0" w:color="auto"/>
                <w:left w:val="none" w:sz="0" w:space="0" w:color="auto"/>
                <w:bottom w:val="none" w:sz="0" w:space="0" w:color="auto"/>
                <w:right w:val="none" w:sz="0" w:space="0" w:color="auto"/>
              </w:divBdr>
              <w:divsChild>
                <w:div w:id="1253709576">
                  <w:marLeft w:val="0"/>
                  <w:marRight w:val="0"/>
                  <w:marTop w:val="0"/>
                  <w:marBottom w:val="0"/>
                  <w:divBdr>
                    <w:top w:val="none" w:sz="0" w:space="0" w:color="auto"/>
                    <w:left w:val="none" w:sz="0" w:space="0" w:color="auto"/>
                    <w:bottom w:val="none" w:sz="0" w:space="0" w:color="auto"/>
                    <w:right w:val="none" w:sz="0" w:space="0" w:color="auto"/>
                  </w:divBdr>
                  <w:divsChild>
                    <w:div w:id="1211763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7337573">
      <w:bodyDiv w:val="1"/>
      <w:marLeft w:val="0"/>
      <w:marRight w:val="0"/>
      <w:marTop w:val="0"/>
      <w:marBottom w:val="0"/>
      <w:divBdr>
        <w:top w:val="none" w:sz="0" w:space="0" w:color="auto"/>
        <w:left w:val="none" w:sz="0" w:space="0" w:color="auto"/>
        <w:bottom w:val="none" w:sz="0" w:space="0" w:color="auto"/>
        <w:right w:val="none" w:sz="0" w:space="0" w:color="auto"/>
      </w:divBdr>
      <w:divsChild>
        <w:div w:id="314071295">
          <w:marLeft w:val="150"/>
          <w:marRight w:val="0"/>
          <w:marTop w:val="0"/>
          <w:marBottom w:val="0"/>
          <w:divBdr>
            <w:top w:val="none" w:sz="0" w:space="0" w:color="auto"/>
            <w:left w:val="none" w:sz="0" w:space="0" w:color="auto"/>
            <w:bottom w:val="none" w:sz="0" w:space="0" w:color="auto"/>
            <w:right w:val="none" w:sz="0" w:space="0" w:color="auto"/>
          </w:divBdr>
        </w:div>
      </w:divsChild>
    </w:div>
    <w:div w:id="1460877404">
      <w:bodyDiv w:val="1"/>
      <w:marLeft w:val="0"/>
      <w:marRight w:val="0"/>
      <w:marTop w:val="0"/>
      <w:marBottom w:val="0"/>
      <w:divBdr>
        <w:top w:val="none" w:sz="0" w:space="0" w:color="auto"/>
        <w:left w:val="none" w:sz="0" w:space="0" w:color="auto"/>
        <w:bottom w:val="none" w:sz="0" w:space="0" w:color="auto"/>
        <w:right w:val="none" w:sz="0" w:space="0" w:color="auto"/>
      </w:divBdr>
      <w:divsChild>
        <w:div w:id="2023968595">
          <w:marLeft w:val="150"/>
          <w:marRight w:val="0"/>
          <w:marTop w:val="0"/>
          <w:marBottom w:val="0"/>
          <w:divBdr>
            <w:top w:val="none" w:sz="0" w:space="0" w:color="auto"/>
            <w:left w:val="none" w:sz="0" w:space="0" w:color="auto"/>
            <w:bottom w:val="none" w:sz="0" w:space="0" w:color="auto"/>
            <w:right w:val="none" w:sz="0" w:space="0" w:color="auto"/>
          </w:divBdr>
        </w:div>
        <w:div w:id="1182352413">
          <w:marLeft w:val="150"/>
          <w:marRight w:val="0"/>
          <w:marTop w:val="0"/>
          <w:marBottom w:val="0"/>
          <w:divBdr>
            <w:top w:val="none" w:sz="0" w:space="0" w:color="auto"/>
            <w:left w:val="none" w:sz="0" w:space="0" w:color="auto"/>
            <w:bottom w:val="none" w:sz="0" w:space="0" w:color="auto"/>
            <w:right w:val="none" w:sz="0" w:space="0" w:color="auto"/>
          </w:divBdr>
        </w:div>
        <w:div w:id="77212337">
          <w:marLeft w:val="150"/>
          <w:marRight w:val="0"/>
          <w:marTop w:val="0"/>
          <w:marBottom w:val="0"/>
          <w:divBdr>
            <w:top w:val="none" w:sz="0" w:space="0" w:color="auto"/>
            <w:left w:val="none" w:sz="0" w:space="0" w:color="auto"/>
            <w:bottom w:val="none" w:sz="0" w:space="0" w:color="auto"/>
            <w:right w:val="none" w:sz="0" w:space="0" w:color="auto"/>
          </w:divBdr>
        </w:div>
      </w:divsChild>
    </w:div>
    <w:div w:id="1777483526">
      <w:bodyDiv w:val="1"/>
      <w:marLeft w:val="0"/>
      <w:marRight w:val="0"/>
      <w:marTop w:val="0"/>
      <w:marBottom w:val="0"/>
      <w:divBdr>
        <w:top w:val="none" w:sz="0" w:space="0" w:color="auto"/>
        <w:left w:val="none" w:sz="0" w:space="0" w:color="auto"/>
        <w:bottom w:val="none" w:sz="0" w:space="0" w:color="auto"/>
        <w:right w:val="none" w:sz="0" w:space="0" w:color="auto"/>
      </w:divBdr>
    </w:div>
    <w:div w:id="1866091026">
      <w:bodyDiv w:val="1"/>
      <w:marLeft w:val="0"/>
      <w:marRight w:val="0"/>
      <w:marTop w:val="0"/>
      <w:marBottom w:val="0"/>
      <w:divBdr>
        <w:top w:val="none" w:sz="0" w:space="0" w:color="auto"/>
        <w:left w:val="none" w:sz="0" w:space="0" w:color="auto"/>
        <w:bottom w:val="none" w:sz="0" w:space="0" w:color="auto"/>
        <w:right w:val="none" w:sz="0" w:space="0" w:color="auto"/>
      </w:divBdr>
      <w:divsChild>
        <w:div w:id="647980712">
          <w:marLeft w:val="150"/>
          <w:marRight w:val="0"/>
          <w:marTop w:val="0"/>
          <w:marBottom w:val="0"/>
          <w:divBdr>
            <w:top w:val="none" w:sz="0" w:space="0" w:color="auto"/>
            <w:left w:val="none" w:sz="0" w:space="0" w:color="auto"/>
            <w:bottom w:val="none" w:sz="0" w:space="0" w:color="auto"/>
            <w:right w:val="none" w:sz="0" w:space="0" w:color="auto"/>
          </w:divBdr>
        </w:div>
      </w:divsChild>
    </w:div>
    <w:div w:id="1872691432">
      <w:bodyDiv w:val="1"/>
      <w:marLeft w:val="0"/>
      <w:marRight w:val="0"/>
      <w:marTop w:val="0"/>
      <w:marBottom w:val="0"/>
      <w:divBdr>
        <w:top w:val="none" w:sz="0" w:space="0" w:color="auto"/>
        <w:left w:val="none" w:sz="0" w:space="0" w:color="auto"/>
        <w:bottom w:val="none" w:sz="0" w:space="0" w:color="auto"/>
        <w:right w:val="none" w:sz="0" w:space="0" w:color="auto"/>
      </w:divBdr>
    </w:div>
    <w:div w:id="1911185759">
      <w:bodyDiv w:val="1"/>
      <w:marLeft w:val="0"/>
      <w:marRight w:val="0"/>
      <w:marTop w:val="0"/>
      <w:marBottom w:val="0"/>
      <w:divBdr>
        <w:top w:val="none" w:sz="0" w:space="0" w:color="auto"/>
        <w:left w:val="none" w:sz="0" w:space="0" w:color="auto"/>
        <w:bottom w:val="none" w:sz="0" w:space="0" w:color="auto"/>
        <w:right w:val="none" w:sz="0" w:space="0" w:color="auto"/>
      </w:divBdr>
    </w:div>
    <w:div w:id="1933392016">
      <w:bodyDiv w:val="1"/>
      <w:marLeft w:val="0"/>
      <w:marRight w:val="0"/>
      <w:marTop w:val="0"/>
      <w:marBottom w:val="0"/>
      <w:divBdr>
        <w:top w:val="none" w:sz="0" w:space="0" w:color="auto"/>
        <w:left w:val="none" w:sz="0" w:space="0" w:color="auto"/>
        <w:bottom w:val="none" w:sz="0" w:space="0" w:color="auto"/>
        <w:right w:val="none" w:sz="0" w:space="0" w:color="auto"/>
      </w:divBdr>
    </w:div>
    <w:div w:id="1939482851">
      <w:bodyDiv w:val="1"/>
      <w:marLeft w:val="0"/>
      <w:marRight w:val="0"/>
      <w:marTop w:val="0"/>
      <w:marBottom w:val="0"/>
      <w:divBdr>
        <w:top w:val="none" w:sz="0" w:space="0" w:color="auto"/>
        <w:left w:val="none" w:sz="0" w:space="0" w:color="auto"/>
        <w:bottom w:val="none" w:sz="0" w:space="0" w:color="auto"/>
        <w:right w:val="none" w:sz="0" w:space="0" w:color="auto"/>
      </w:divBdr>
    </w:div>
    <w:div w:id="2013604760">
      <w:bodyDiv w:val="1"/>
      <w:marLeft w:val="0"/>
      <w:marRight w:val="0"/>
      <w:marTop w:val="0"/>
      <w:marBottom w:val="0"/>
      <w:divBdr>
        <w:top w:val="none" w:sz="0" w:space="0" w:color="auto"/>
        <w:left w:val="none" w:sz="0" w:space="0" w:color="auto"/>
        <w:bottom w:val="none" w:sz="0" w:space="0" w:color="auto"/>
        <w:right w:val="none" w:sz="0" w:space="0" w:color="auto"/>
      </w:divBdr>
    </w:div>
    <w:div w:id="2079940295">
      <w:bodyDiv w:val="1"/>
      <w:marLeft w:val="0"/>
      <w:marRight w:val="0"/>
      <w:marTop w:val="0"/>
      <w:marBottom w:val="0"/>
      <w:divBdr>
        <w:top w:val="none" w:sz="0" w:space="0" w:color="auto"/>
        <w:left w:val="none" w:sz="0" w:space="0" w:color="auto"/>
        <w:bottom w:val="none" w:sz="0" w:space="0" w:color="auto"/>
        <w:right w:val="none" w:sz="0" w:space="0" w:color="auto"/>
      </w:divBdr>
    </w:div>
    <w:div w:id="2132626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register.vevent.com/register/BI205823e15f3a49cdb5ade4789837bb8c" TargetMode="External"/><Relationship Id="rId18" Type="http://schemas.openxmlformats.org/officeDocument/2006/relationships/image" Target="media/image3.png"/><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ir.group-lotus.com/" TargetMode="External"/><Relationship Id="rId17" Type="http://schemas.openxmlformats.org/officeDocument/2006/relationships/image" Target="media/image2.png"/><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dge.media-server.com/mmc/p/gwuvrehk"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media.lotuscars.com"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4.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group-lotus.com" TargetMode="External"/><Relationship Id="rId22" Type="http://schemas.openxmlformats.org/officeDocument/2006/relationships/header" Target="header2.xml"/><Relationship Id="rId27"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F58CB12AAF6D84697AA12C273110B36" ma:contentTypeVersion="14" ma:contentTypeDescription="Create a new document." ma:contentTypeScope="" ma:versionID="6bcb0b103d8a214d827ea5aa5d23e4fc">
  <xsd:schema xmlns:xsd="http://www.w3.org/2001/XMLSchema" xmlns:xs="http://www.w3.org/2001/XMLSchema" xmlns:p="http://schemas.microsoft.com/office/2006/metadata/properties" xmlns:ns2="95b1415a-8e55-4335-b85e-fdfac5066c11" xmlns:ns3="b8ec72ed-e154-4464-969f-332186c1c128" targetNamespace="http://schemas.microsoft.com/office/2006/metadata/properties" ma:root="true" ma:fieldsID="1bf01acc0250fd0a6cf05d840ffb4bfc" ns2:_="" ns3:_="">
    <xsd:import namespace="95b1415a-8e55-4335-b85e-fdfac5066c11"/>
    <xsd:import namespace="b8ec72ed-e154-4464-969f-332186c1c12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b1415a-8e55-4335-b85e-fdfac5066c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36761a07-0c7e-4c9f-be77-9aaf42d79438"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8ec72ed-e154-4464-969f-332186c1c12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8f2f80ee-e199-4c12-bc02-b7cea9f32fe6}" ma:internalName="TaxCatchAll" ma:showField="CatchAllData" ma:web="b8ec72ed-e154-4464-969f-332186c1c1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b8ec72ed-e154-4464-969f-332186c1c128" xsi:nil="true"/>
    <SharedWithUsers xmlns="b8ec72ed-e154-4464-969f-332186c1c128">
      <UserInfo>
        <DisplayName>Ben Bailey</DisplayName>
        <AccountId>110</AccountId>
        <AccountType/>
      </UserInfo>
      <UserInfo>
        <DisplayName>Paolo Sperati</DisplayName>
        <AccountId>86</AccountId>
        <AccountType/>
      </UserInfo>
      <UserInfo>
        <DisplayName>Rory Macleod</DisplayName>
        <AccountId>514</AccountId>
        <AccountType/>
      </UserInfo>
      <UserInfo>
        <DisplayName>Alexandra Lorenzo</DisplayName>
        <AccountId>513</AccountId>
        <AccountType/>
      </UserInfo>
      <UserInfo>
        <DisplayName>Richard Yarrow</DisplayName>
        <AccountId>207</AccountId>
        <AccountType/>
      </UserInfo>
    </SharedWithUsers>
    <lcf76f155ced4ddcb4097134ff3c332f xmlns="95b1415a-8e55-4335-b85e-fdfac5066c11">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4F9B7E3-7D15-4933-BAE0-6DB572A598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5b1415a-8e55-4335-b85e-fdfac5066c11"/>
    <ds:schemaRef ds:uri="b8ec72ed-e154-4464-969f-332186c1c1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47346A7-A141-4F4F-A032-9869D328C277}">
  <ds:schemaRefs>
    <ds:schemaRef ds:uri="http://schemas.microsoft.com/office/2006/metadata/properties"/>
    <ds:schemaRef ds:uri="http://schemas.microsoft.com/office/infopath/2007/PartnerControls"/>
    <ds:schemaRef ds:uri="b8ec72ed-e154-4464-969f-332186c1c128"/>
    <ds:schemaRef ds:uri="95b1415a-8e55-4335-b85e-fdfac5066c11"/>
  </ds:schemaRefs>
</ds:datastoreItem>
</file>

<file path=customXml/itemProps3.xml><?xml version="1.0" encoding="utf-8"?>
<ds:datastoreItem xmlns:ds="http://schemas.openxmlformats.org/officeDocument/2006/customXml" ds:itemID="{BFDA6B51-533A-F64B-8158-A9A8D975F748}">
  <ds:schemaRefs>
    <ds:schemaRef ds:uri="http://schemas.openxmlformats.org/officeDocument/2006/bibliography"/>
  </ds:schemaRefs>
</ds:datastoreItem>
</file>

<file path=customXml/itemProps4.xml><?xml version="1.0" encoding="utf-8"?>
<ds:datastoreItem xmlns:ds="http://schemas.openxmlformats.org/officeDocument/2006/customXml" ds:itemID="{5215ADE8-1327-4925-B2DA-2381C931ED1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2432</Words>
  <Characters>13866</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2019-08-13T16:39:00Z</cp:lastPrinted>
  <dcterms:created xsi:type="dcterms:W3CDTF">2024-05-29T11:24:00Z</dcterms:created>
  <dcterms:modified xsi:type="dcterms:W3CDTF">2024-05-29T11:36:00Z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0x010100CF58CB12AAF6D84697AA12C273110B36</vt:lpwstr>
  </property>
  <property fmtid="{D5CDD505-2E9C-101B-9397-08002B2CF9AE}" pid="3" name="MediaServiceImageTags">
    <vt:lpwstr/>
  </property>
</Properties>
</file>